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45" w:rsidRPr="004D3241" w:rsidRDefault="00DB5B45" w:rsidP="00DB5B45">
      <w:pPr>
        <w:jc w:val="center"/>
        <w:rPr>
          <w:b/>
          <w:caps/>
          <w:sz w:val="28"/>
        </w:rPr>
      </w:pPr>
      <w:r w:rsidRPr="004D3241">
        <w:rPr>
          <w:b/>
          <w:caps/>
          <w:sz w:val="28"/>
        </w:rPr>
        <w:t>Meeting Summary</w:t>
      </w:r>
    </w:p>
    <w:p w:rsidR="00DB5B45" w:rsidRPr="00DB5B45" w:rsidRDefault="00DB5B45" w:rsidP="00DB5B45">
      <w:pPr>
        <w:jc w:val="center"/>
        <w:rPr>
          <w:sz w:val="28"/>
        </w:rPr>
      </w:pPr>
      <w:r w:rsidRPr="004D3241">
        <w:rPr>
          <w:b/>
          <w:caps/>
          <w:sz w:val="28"/>
        </w:rPr>
        <w:t>American Board of Surgery</w:t>
      </w:r>
    </w:p>
    <w:p w:rsidR="00DB5B45" w:rsidRPr="004D3241" w:rsidRDefault="00DB5B45" w:rsidP="00DB5B45">
      <w:pPr>
        <w:jc w:val="center"/>
        <w:rPr>
          <w:b/>
          <w:sz w:val="28"/>
        </w:rPr>
      </w:pPr>
      <w:r w:rsidRPr="004D3241">
        <w:rPr>
          <w:b/>
          <w:sz w:val="28"/>
        </w:rPr>
        <w:t xml:space="preserve">June </w:t>
      </w:r>
      <w:r w:rsidR="00AC7306">
        <w:rPr>
          <w:b/>
          <w:sz w:val="28"/>
        </w:rPr>
        <w:t>22-</w:t>
      </w:r>
      <w:r w:rsidRPr="004D3241">
        <w:rPr>
          <w:b/>
          <w:sz w:val="28"/>
        </w:rPr>
        <w:t>25, 2013</w:t>
      </w:r>
    </w:p>
    <w:p w:rsidR="00DB5B45" w:rsidRDefault="00DB5B45"/>
    <w:p w:rsidR="004D3241" w:rsidRPr="004D3241" w:rsidRDefault="00DB5B45">
      <w:pPr>
        <w:rPr>
          <w:b/>
          <w:u w:val="single"/>
        </w:rPr>
      </w:pPr>
      <w:r w:rsidRPr="003F7438">
        <w:rPr>
          <w:b/>
        </w:rPr>
        <w:t>1.</w:t>
      </w:r>
      <w:r w:rsidR="003F7438">
        <w:rPr>
          <w:b/>
        </w:rPr>
        <w:t xml:space="preserve">  </w:t>
      </w:r>
      <w:r w:rsidR="004D3241" w:rsidRPr="004D3241">
        <w:rPr>
          <w:b/>
          <w:u w:val="single"/>
        </w:rPr>
        <w:t>Meeting and Membership</w:t>
      </w:r>
    </w:p>
    <w:p w:rsidR="00042D54" w:rsidRDefault="004D3241">
      <w:r>
        <w:t>The Board met in Philadelphia from June 22-25</w:t>
      </w:r>
      <w:r w:rsidR="00E3607E">
        <w:t>, 2013</w:t>
      </w:r>
      <w:r>
        <w:t xml:space="preserve">.  </w:t>
      </w:r>
      <w:r w:rsidR="00DB5B45">
        <w:t xml:space="preserve">The </w:t>
      </w:r>
      <w:r>
        <w:t xml:space="preserve">directors’ </w:t>
      </w:r>
      <w:r w:rsidR="00DB5B45">
        <w:t>meeting was chaired by Dr. T</w:t>
      </w:r>
      <w:r w:rsidR="00826910">
        <w:t>h</w:t>
      </w:r>
      <w:r w:rsidR="00DB5B45">
        <w:t>om</w:t>
      </w:r>
      <w:r w:rsidR="00826910">
        <w:t>as</w:t>
      </w:r>
      <w:r w:rsidR="00DB5B45">
        <w:t xml:space="preserve"> Cogbill.  He began by noting the new directors who were elected to the Board in January:</w:t>
      </w:r>
    </w:p>
    <w:p w:rsidR="00DB5B45" w:rsidRDefault="00DB5B45"/>
    <w:p w:rsidR="00FF6B5F" w:rsidRDefault="00FF6B5F">
      <w:r>
        <w:t>Dr. Roxie Albrecht</w:t>
      </w:r>
      <w:r w:rsidR="00DB5B45">
        <w:t xml:space="preserve"> – </w:t>
      </w:r>
      <w:r w:rsidR="00AC0016">
        <w:t>Southwestern Surgical Congress</w:t>
      </w:r>
    </w:p>
    <w:p w:rsidR="00FF6B5F" w:rsidRDefault="00FF6B5F">
      <w:r>
        <w:t>Dr. Mark Allen</w:t>
      </w:r>
      <w:r w:rsidR="00DB5B45">
        <w:t xml:space="preserve"> – American Board of Thoracic Surgery</w:t>
      </w:r>
    </w:p>
    <w:p w:rsidR="00FF6B5F" w:rsidRDefault="00FF6B5F">
      <w:r>
        <w:t>Dr. Will</w:t>
      </w:r>
      <w:r w:rsidR="00AC0016">
        <w:t>iam</w:t>
      </w:r>
      <w:r>
        <w:t xml:space="preserve"> Chapman</w:t>
      </w:r>
      <w:r w:rsidR="00AC0016">
        <w:t xml:space="preserve"> – American Surgical Association</w:t>
      </w:r>
    </w:p>
    <w:p w:rsidR="00FF6B5F" w:rsidRDefault="00FF6B5F">
      <w:r>
        <w:t>Dr. Dai Chung</w:t>
      </w:r>
      <w:r w:rsidR="00AC0016">
        <w:t xml:space="preserve"> – Society of University Surgeons</w:t>
      </w:r>
    </w:p>
    <w:p w:rsidR="00FF6B5F" w:rsidRDefault="00FF6B5F">
      <w:r>
        <w:t>Dr. Vivian Gahtan</w:t>
      </w:r>
      <w:r w:rsidR="00AC0016">
        <w:t xml:space="preserve"> – Society for Vascular Surgery</w:t>
      </w:r>
    </w:p>
    <w:p w:rsidR="00FF6B5F" w:rsidRDefault="00FF6B5F">
      <w:r>
        <w:t>Dr. K. Craig Kent</w:t>
      </w:r>
      <w:r w:rsidR="00AC0016">
        <w:t xml:space="preserve"> – American Surgical Association</w:t>
      </w:r>
    </w:p>
    <w:p w:rsidR="00FF6B5F" w:rsidRDefault="00FF6B5F">
      <w:r>
        <w:t>Dr. Anne Rizzo</w:t>
      </w:r>
      <w:r w:rsidR="00AC0016">
        <w:t xml:space="preserve"> – A</w:t>
      </w:r>
      <w:r w:rsidR="00AE4814">
        <w:t>t-</w:t>
      </w:r>
      <w:r w:rsidR="00AC0016">
        <w:t>L</w:t>
      </w:r>
      <w:r w:rsidR="004D3241">
        <w:t xml:space="preserve">arge </w:t>
      </w:r>
      <w:r w:rsidR="00AC0016">
        <w:t>D</w:t>
      </w:r>
      <w:r w:rsidR="00DB5B45">
        <w:t>irector</w:t>
      </w:r>
    </w:p>
    <w:p w:rsidR="00FD362C" w:rsidRDefault="00FD362C"/>
    <w:p w:rsidR="00FD362C" w:rsidRDefault="00DB5B45">
      <w:r>
        <w:t>The following directors are completing their terms at this meeting:</w:t>
      </w:r>
    </w:p>
    <w:p w:rsidR="001E3910" w:rsidRDefault="001E3910"/>
    <w:p w:rsidR="00FD362C" w:rsidRDefault="00FF6B5F">
      <w:r>
        <w:t>Dr. L. D. Britt</w:t>
      </w:r>
      <w:r w:rsidR="00AC0016">
        <w:t xml:space="preserve"> – American Surgical Association</w:t>
      </w:r>
    </w:p>
    <w:p w:rsidR="00FF6B5F" w:rsidRDefault="00FF6B5F">
      <w:r>
        <w:t>Dr. T</w:t>
      </w:r>
      <w:r w:rsidR="00AC0016">
        <w:t>h</w:t>
      </w:r>
      <w:r>
        <w:t>om</w:t>
      </w:r>
      <w:r w:rsidR="00AC0016">
        <w:t>as</w:t>
      </w:r>
      <w:r>
        <w:t xml:space="preserve"> Cogbill</w:t>
      </w:r>
      <w:r w:rsidR="004D3241">
        <w:t xml:space="preserve"> – </w:t>
      </w:r>
      <w:r w:rsidR="00AC0016">
        <w:t>At-L</w:t>
      </w:r>
      <w:r w:rsidR="004D3241">
        <w:t xml:space="preserve">arge </w:t>
      </w:r>
      <w:r w:rsidR="00AC0016">
        <w:t>D</w:t>
      </w:r>
      <w:r w:rsidR="004D3241">
        <w:t>irector</w:t>
      </w:r>
    </w:p>
    <w:p w:rsidR="00FF6B5F" w:rsidRDefault="00FF6B5F">
      <w:r>
        <w:t xml:space="preserve">Dr. </w:t>
      </w:r>
      <w:r w:rsidR="00DA44F2">
        <w:t xml:space="preserve">B. </w:t>
      </w:r>
      <w:r>
        <w:t>Mark Evers</w:t>
      </w:r>
      <w:r w:rsidR="00DA44F2">
        <w:t xml:space="preserve"> – Society of University Surgeons</w:t>
      </w:r>
    </w:p>
    <w:p w:rsidR="00FF6B5F" w:rsidRDefault="00FF6B5F">
      <w:r>
        <w:t xml:space="preserve">Dr. </w:t>
      </w:r>
      <w:r w:rsidR="00DA44F2">
        <w:t xml:space="preserve">V. </w:t>
      </w:r>
      <w:r>
        <w:t>Suzanne Klimberg</w:t>
      </w:r>
      <w:r w:rsidR="00DA44F2">
        <w:t xml:space="preserve"> – American Surgical Association</w:t>
      </w:r>
    </w:p>
    <w:p w:rsidR="00FF6B5F" w:rsidRDefault="00DA44F2">
      <w:r>
        <w:t>Dr. Joseph</w:t>
      </w:r>
      <w:r w:rsidR="00FF6B5F">
        <w:t xml:space="preserve"> Mills</w:t>
      </w:r>
      <w:r>
        <w:t xml:space="preserve"> – Society for Vascular Surgery</w:t>
      </w:r>
    </w:p>
    <w:p w:rsidR="001E3910" w:rsidRDefault="001E3910">
      <w:r>
        <w:t>Dr. John Potts – Southwestern Surgical Congress</w:t>
      </w:r>
    </w:p>
    <w:p w:rsidR="00FF6B5F" w:rsidRDefault="00FF6B5F">
      <w:r>
        <w:t>Dr. Cam</w:t>
      </w:r>
      <w:r w:rsidR="00BE7ACC">
        <w:t>eron</w:t>
      </w:r>
      <w:r>
        <w:t xml:space="preserve"> Wright</w:t>
      </w:r>
      <w:r w:rsidR="00DA44F2">
        <w:t xml:space="preserve"> – American Board of Thoracic Surgery</w:t>
      </w:r>
    </w:p>
    <w:p w:rsidR="00DB5B45" w:rsidRDefault="00DB5B45"/>
    <w:p w:rsidR="00DB5B45" w:rsidRPr="004D3241" w:rsidRDefault="004D3241">
      <w:pPr>
        <w:rPr>
          <w:b/>
          <w:u w:val="single"/>
        </w:rPr>
      </w:pPr>
      <w:r w:rsidRPr="003F7438">
        <w:rPr>
          <w:b/>
        </w:rPr>
        <w:t>2.</w:t>
      </w:r>
      <w:r w:rsidR="003F7438">
        <w:rPr>
          <w:b/>
        </w:rPr>
        <w:t xml:space="preserve">  </w:t>
      </w:r>
      <w:r w:rsidRPr="004D3241">
        <w:rPr>
          <w:b/>
          <w:u w:val="single"/>
        </w:rPr>
        <w:t>General Issues</w:t>
      </w:r>
    </w:p>
    <w:p w:rsidR="004D3241" w:rsidRPr="00AE5B11" w:rsidRDefault="004D3241">
      <w:pPr>
        <w:rPr>
          <w:u w:val="single"/>
        </w:rPr>
      </w:pPr>
      <w:r w:rsidRPr="00AE5B11">
        <w:rPr>
          <w:u w:val="single"/>
        </w:rPr>
        <w:t>A. Strategic Planning Meeting</w:t>
      </w:r>
    </w:p>
    <w:p w:rsidR="004D3241" w:rsidRDefault="004D3241">
      <w:r>
        <w:t>The</w:t>
      </w:r>
      <w:r w:rsidR="00AE4814">
        <w:t xml:space="preserve"> ABS conducted</w:t>
      </w:r>
      <w:r>
        <w:t xml:space="preserve"> a strategic planning meeting to review current policies and project the most important activities we need to focus on in coming years, which was held for two days in March 2013.  T</w:t>
      </w:r>
      <w:r w:rsidR="00AE4814">
        <w:t xml:space="preserve">he conclusions of this session </w:t>
      </w:r>
      <w:r>
        <w:t xml:space="preserve">were the following </w:t>
      </w:r>
      <w:r w:rsidR="00D671A1">
        <w:t>goals, ranked in priority order, with the action plans appended.</w:t>
      </w:r>
    </w:p>
    <w:p w:rsidR="004D3241" w:rsidRDefault="004D3241"/>
    <w:p w:rsidR="001E3910" w:rsidRDefault="001E3910" w:rsidP="001E3910">
      <w:r>
        <w:t>A. Strengthen MOC</w:t>
      </w:r>
    </w:p>
    <w:p w:rsidR="001E3910" w:rsidRDefault="001E3910" w:rsidP="001E3910">
      <w:pPr>
        <w:ind w:firstLine="720"/>
      </w:pPr>
      <w:r>
        <w:t>To be addressed at retreat and subsequently by the MOC Task Force chaired by Dr. Cofer.</w:t>
      </w:r>
    </w:p>
    <w:p w:rsidR="001E3910" w:rsidRDefault="001E3910" w:rsidP="001E3910">
      <w:r>
        <w:t>B. Strengthen SCORE</w:t>
      </w:r>
    </w:p>
    <w:p w:rsidR="001E3910" w:rsidRDefault="001E3910" w:rsidP="001E3910">
      <w:pPr>
        <w:ind w:firstLine="720"/>
      </w:pPr>
      <w:r>
        <w:t>Continue with current organization, SCORE Executive Committee, and current plans</w:t>
      </w:r>
    </w:p>
    <w:p w:rsidR="001E3910" w:rsidRDefault="001E3910" w:rsidP="001E3910">
      <w:r>
        <w:t>C. Improve General Surgical training</w:t>
      </w:r>
    </w:p>
    <w:p w:rsidR="001E3910" w:rsidRDefault="001E3910" w:rsidP="001E3910">
      <w:pPr>
        <w:ind w:firstLine="720"/>
      </w:pPr>
      <w:r>
        <w:t>Continue to address within GENSAC in regard to three different areas of training</w:t>
      </w:r>
    </w:p>
    <w:p w:rsidR="001E3910" w:rsidRDefault="001E3910" w:rsidP="001E3910">
      <w:r>
        <w:t>D. Identify, implement and validate broader measures of competence in the certification process</w:t>
      </w:r>
    </w:p>
    <w:p w:rsidR="001E3910" w:rsidRDefault="001E3910" w:rsidP="001E3910">
      <w:pPr>
        <w:ind w:left="720"/>
      </w:pPr>
      <w:r>
        <w:t>Referred to General Surgery Residents Committee (GSRC) for discussion and recommendations</w:t>
      </w:r>
    </w:p>
    <w:p w:rsidR="001E3910" w:rsidRDefault="001E3910" w:rsidP="001E3910">
      <w:r>
        <w:t>E. Optimize director time and skills</w:t>
      </w:r>
    </w:p>
    <w:p w:rsidR="001E3910" w:rsidRDefault="001E3910" w:rsidP="001E3910">
      <w:pPr>
        <w:ind w:firstLine="720"/>
      </w:pPr>
      <w:r>
        <w:t>Assign to Dr. Buyske to develop specific plans and improvements</w:t>
      </w:r>
    </w:p>
    <w:p w:rsidR="001E3910" w:rsidRDefault="001E3910" w:rsidP="001E3910">
      <w:r>
        <w:t>F. Succession Planning</w:t>
      </w:r>
    </w:p>
    <w:p w:rsidR="001E3910" w:rsidRDefault="001E3910" w:rsidP="001E3910">
      <w:pPr>
        <w:ind w:firstLine="720"/>
      </w:pPr>
      <w:r>
        <w:t>Assign to Dr. Lewis to develop plan</w:t>
      </w:r>
    </w:p>
    <w:p w:rsidR="001E3910" w:rsidRDefault="001E3910" w:rsidP="001E3910">
      <w:r>
        <w:t>G. Define uniform oversight process for post-residency fellowships</w:t>
      </w:r>
    </w:p>
    <w:p w:rsidR="001E3910" w:rsidRDefault="001E3910" w:rsidP="001E3910">
      <w:pPr>
        <w:ind w:firstLine="720"/>
      </w:pPr>
      <w:r>
        <w:t>Refer to Advanced Surgical Education Committee (ASEC) to discuss and develop further plans</w:t>
      </w:r>
    </w:p>
    <w:p w:rsidR="00AE5B11" w:rsidRDefault="00AE5B11"/>
    <w:p w:rsidR="00AE5B11" w:rsidRDefault="00AE4814">
      <w:r>
        <w:lastRenderedPageBreak/>
        <w:t>A</w:t>
      </w:r>
      <w:r w:rsidR="00AE5B11">
        <w:t>ction plan</w:t>
      </w:r>
      <w:r>
        <w:t>s were</w:t>
      </w:r>
      <w:r w:rsidR="00AE5B11">
        <w:t xml:space="preserve"> developed</w:t>
      </w:r>
      <w:r>
        <w:t xml:space="preserve"> for each </w:t>
      </w:r>
      <w:r w:rsidR="00AE5B11">
        <w:t>will be implemented during the coming year.</w:t>
      </w:r>
    </w:p>
    <w:p w:rsidR="00AE5B11" w:rsidRDefault="00AE5B11"/>
    <w:p w:rsidR="00AE5B11" w:rsidRPr="00AE5B11" w:rsidRDefault="00AE5B11">
      <w:pPr>
        <w:rPr>
          <w:u w:val="single"/>
        </w:rPr>
      </w:pPr>
      <w:r w:rsidRPr="00AE5B11">
        <w:rPr>
          <w:u w:val="single"/>
        </w:rPr>
        <w:t>B. SCORE Status and Plans</w:t>
      </w:r>
    </w:p>
    <w:p w:rsidR="00E66502" w:rsidRDefault="00E05E49">
      <w:r>
        <w:t xml:space="preserve">The SCORE website continues to do well, with </w:t>
      </w:r>
      <w:r w:rsidR="00E66502">
        <w:t xml:space="preserve">subscription renewals increasing to </w:t>
      </w:r>
      <w:r>
        <w:t>95% of allopathic surgical residencies and about 50%</w:t>
      </w:r>
      <w:r w:rsidR="00E66502">
        <w:t xml:space="preserve"> </w:t>
      </w:r>
      <w:r>
        <w:t xml:space="preserve">of osteopathic </w:t>
      </w:r>
      <w:r w:rsidR="00E66502">
        <w:t>surgical residencies in the 2013-14 year</w:t>
      </w:r>
      <w:r>
        <w:t xml:space="preserve">.  </w:t>
      </w:r>
      <w:r w:rsidR="00E66502">
        <w:t>The vendor for the website was changed this year to Silverchair, a</w:t>
      </w:r>
      <w:r w:rsidR="00AE4814">
        <w:t>nd the transition was made on</w:t>
      </w:r>
      <w:r w:rsidR="00E66502">
        <w:t xml:space="preserve"> March 1, 2013, with no significant problems.  The new website will increase the flexibility of program directors to make curriculum assignments, and of residents to carry out self-assessment of their knowledge and to compare themselves to their peers.  </w:t>
      </w:r>
      <w:r w:rsidR="009244E0">
        <w:t>The website also has improved navigation and search features and is much more contemporary in its look and user experience</w:t>
      </w:r>
      <w:r w:rsidR="00AE4814">
        <w:t>.</w:t>
      </w:r>
    </w:p>
    <w:p w:rsidR="00E66502" w:rsidRDefault="00E66502"/>
    <w:p w:rsidR="00E05E49" w:rsidRDefault="00E05E49">
      <w:r>
        <w:t>A study was done by the Johns Hopkins School of Public Health of the use of SCORE v</w:t>
      </w:r>
      <w:r w:rsidR="003B7B60">
        <w:t>ersus</w:t>
      </w:r>
      <w:r>
        <w:t xml:space="preserve"> the </w:t>
      </w:r>
      <w:r w:rsidR="00E66502">
        <w:t xml:space="preserve">residency teaching program of the Royal College of Surgeons </w:t>
      </w:r>
      <w:r w:rsidR="003B7B60">
        <w:t>in</w:t>
      </w:r>
      <w:r w:rsidR="00E66502">
        <w:t xml:space="preserve"> Ireland</w:t>
      </w:r>
      <w:r w:rsidR="002127B4">
        <w:t>,</w:t>
      </w:r>
      <w:r w:rsidR="00E66502">
        <w:t xml:space="preserve"> </w:t>
      </w:r>
      <w:r w:rsidR="002127B4">
        <w:t>School for Surgeons,</w:t>
      </w:r>
      <w:r w:rsidR="00E66502">
        <w:t xml:space="preserve"> in a number of surgical residencies in Africa, and both programs were reviewed very highly in regard to their effectiveness.</w:t>
      </w:r>
      <w:r w:rsidR="002127B4">
        <w:t>*</w:t>
      </w:r>
      <w:r w:rsidR="00E66502">
        <w:t xml:space="preserve">  Regular international subscriptions </w:t>
      </w:r>
      <w:r w:rsidR="0052014E">
        <w:t xml:space="preserve">to SCORE </w:t>
      </w:r>
      <w:r w:rsidR="00E66502">
        <w:t>number about a dozen programs.</w:t>
      </w:r>
    </w:p>
    <w:p w:rsidR="00E66502" w:rsidRDefault="00E66502"/>
    <w:p w:rsidR="00E66502" w:rsidRDefault="00AE4814">
      <w:r>
        <w:t xml:space="preserve">The number of learning </w:t>
      </w:r>
      <w:r w:rsidR="00E66502">
        <w:t xml:space="preserve">modules currently completed on SCORE is approximately 550, and 100 additional modules are in preparation and will be put on the site by June 2014.  This will complete the </w:t>
      </w:r>
      <w:r>
        <w:t xml:space="preserve">full </w:t>
      </w:r>
      <w:r w:rsidR="00731C45">
        <w:t>build-</w:t>
      </w:r>
      <w:r w:rsidR="00E66502">
        <w:t>out of SCORE modules, such that the website will have modules covering all of the subje</w:t>
      </w:r>
      <w:r>
        <w:t>cts listed in the</w:t>
      </w:r>
      <w:r w:rsidR="00E66502">
        <w:t xml:space="preserve"> SCORE curriculum.</w:t>
      </w:r>
      <w:r w:rsidR="0052014E">
        <w:t xml:space="preserve">  During the past year the American Society of Transplant Surgeons selected 22 modules from their comprehensive learning program in transplant surgery</w:t>
      </w:r>
      <w:r w:rsidR="00750644">
        <w:t xml:space="preserve"> – Transplant Academic Universe – that are particularly relevant to surgical residents</w:t>
      </w:r>
      <w:r w:rsidR="0052014E">
        <w:t xml:space="preserve"> </w:t>
      </w:r>
      <w:r w:rsidR="00750644">
        <w:t>and provided these at no charge by linkage to SCO</w:t>
      </w:r>
      <w:r>
        <w:t>RE so that the material is</w:t>
      </w:r>
      <w:r w:rsidR="00750644">
        <w:t xml:space="preserve"> available to residents on transplant rotations.  </w:t>
      </w:r>
    </w:p>
    <w:p w:rsidR="00750644" w:rsidRDefault="00750644"/>
    <w:p w:rsidR="00750644" w:rsidRDefault="00750644">
      <w:r>
        <w:t xml:space="preserve">The Pediatric Surgical Board has asked that modules be added to SCORE for the use of fellows </w:t>
      </w:r>
      <w:r w:rsidR="00AE4814">
        <w:t xml:space="preserve">in </w:t>
      </w:r>
      <w:r>
        <w:t>pediatric surgical fellowships, and t</w:t>
      </w:r>
      <w:r w:rsidR="00AE4814">
        <w:t>his is in progress.  The PSB</w:t>
      </w:r>
      <w:r>
        <w:t xml:space="preserve"> developed 25 </w:t>
      </w:r>
      <w:r w:rsidR="00AE4814">
        <w:t xml:space="preserve">new </w:t>
      </w:r>
      <w:r>
        <w:t>modules in phase I of this program, and these will be loaded onto SCORE in the next two months.  There are an additional 20 more advanced modules which will be completed during the r</w:t>
      </w:r>
      <w:r w:rsidR="00AE4814">
        <w:t>emainder of the</w:t>
      </w:r>
      <w:r>
        <w:t xml:space="preserve"> year and subsequently added.</w:t>
      </w:r>
      <w:r w:rsidR="00AE4814">
        <w:t xml:space="preserve">  </w:t>
      </w:r>
      <w:r>
        <w:t>All of this material, while targeted principally at pedia</w:t>
      </w:r>
      <w:r w:rsidR="00AE4814">
        <w:t>tric surgical fellows, will</w:t>
      </w:r>
      <w:r>
        <w:t xml:space="preserve"> be available to surgical residents using the program.</w:t>
      </w:r>
    </w:p>
    <w:p w:rsidR="002127B4" w:rsidRDefault="002127B4"/>
    <w:p w:rsidR="002127B4" w:rsidRPr="00AD3D79" w:rsidRDefault="002127B4">
      <w:pPr>
        <w:rPr>
          <w:sz w:val="18"/>
          <w:szCs w:val="18"/>
        </w:rPr>
      </w:pPr>
      <w:r>
        <w:rPr>
          <w:sz w:val="18"/>
          <w:szCs w:val="18"/>
        </w:rPr>
        <w:t xml:space="preserve">*SD Goldstein, D Papandria, A Linden, G Azzies, E Borgstein, JF Calland, S Finlayson, P Jani, M Klingensmith, M Labib, F Lewis, </w:t>
      </w:r>
      <w:r w:rsidR="00AD3D79">
        <w:rPr>
          <w:sz w:val="18"/>
          <w:szCs w:val="18"/>
        </w:rPr>
        <w:t xml:space="preserve">M Malangoni, E O’Flynn, S Ogendo, R Riviello, F Abdullah.  </w:t>
      </w:r>
      <w:r w:rsidR="00AD3D79">
        <w:rPr>
          <w:i/>
          <w:sz w:val="18"/>
          <w:szCs w:val="18"/>
        </w:rPr>
        <w:t xml:space="preserve">Innovative approaches to educating the global surgical workforce: A pilot comparison of online curricula for use in low- and middle-income countries. </w:t>
      </w:r>
      <w:r w:rsidR="00AD3D79">
        <w:rPr>
          <w:sz w:val="18"/>
          <w:szCs w:val="18"/>
        </w:rPr>
        <w:t>JAMA Surgery, in press.</w:t>
      </w:r>
    </w:p>
    <w:p w:rsidR="004D3241" w:rsidRDefault="004D3241"/>
    <w:p w:rsidR="004D3241" w:rsidRPr="00342734" w:rsidRDefault="00342734">
      <w:pPr>
        <w:rPr>
          <w:u w:val="single"/>
        </w:rPr>
      </w:pPr>
      <w:r w:rsidRPr="00342734">
        <w:rPr>
          <w:u w:val="single"/>
        </w:rPr>
        <w:t xml:space="preserve">C. Developing </w:t>
      </w:r>
      <w:r w:rsidR="00731C45">
        <w:rPr>
          <w:u w:val="single"/>
        </w:rPr>
        <w:t>B</w:t>
      </w:r>
      <w:r w:rsidRPr="00342734">
        <w:rPr>
          <w:u w:val="single"/>
        </w:rPr>
        <w:t xml:space="preserve">oard </w:t>
      </w:r>
      <w:r w:rsidR="00731C45">
        <w:rPr>
          <w:u w:val="single"/>
        </w:rPr>
        <w:t>C</w:t>
      </w:r>
      <w:r w:rsidRPr="00342734">
        <w:rPr>
          <w:u w:val="single"/>
        </w:rPr>
        <w:t xml:space="preserve">ertification </w:t>
      </w:r>
      <w:r w:rsidR="00731C45">
        <w:rPr>
          <w:u w:val="single"/>
        </w:rPr>
        <w:t>S</w:t>
      </w:r>
      <w:r w:rsidRPr="00342734">
        <w:rPr>
          <w:u w:val="single"/>
        </w:rPr>
        <w:t>tan</w:t>
      </w:r>
      <w:r w:rsidR="00731C45">
        <w:rPr>
          <w:u w:val="single"/>
        </w:rPr>
        <w:t>dards for Singaporean Surgical R</w:t>
      </w:r>
      <w:r w:rsidRPr="00342734">
        <w:rPr>
          <w:u w:val="single"/>
        </w:rPr>
        <w:t>esidencies</w:t>
      </w:r>
    </w:p>
    <w:p w:rsidR="00342734" w:rsidRDefault="00342734" w:rsidP="00DB5B45">
      <w:r>
        <w:t xml:space="preserve">The Ministry of Health of Singapore determined approximately five years ago that they wanted to change the accreditation and board certification system </w:t>
      </w:r>
      <w:r w:rsidR="00AE4814">
        <w:t xml:space="preserve">there </w:t>
      </w:r>
      <w:r>
        <w:t xml:space="preserve">from the British model to the American model.  The first phase of this was to engage the Accreditation Council for Graduate Medical Education </w:t>
      </w:r>
      <w:r w:rsidR="00AE4814">
        <w:t xml:space="preserve">(ACGME) </w:t>
      </w:r>
      <w:r>
        <w:t>to develop accreditation standards that would be applicable in international venues.  This ef</w:t>
      </w:r>
      <w:r w:rsidR="00AE4814">
        <w:t>fort was completed</w:t>
      </w:r>
      <w:r>
        <w:t xml:space="preserve"> three years ago, and has resulted in ACGME-I , which provides accreditation </w:t>
      </w:r>
      <w:r w:rsidR="00AE4814">
        <w:t>standards</w:t>
      </w:r>
      <w:r>
        <w:t xml:space="preserve"> to any foreign countries which want to emulate the standards in place in the US.</w:t>
      </w:r>
    </w:p>
    <w:p w:rsidR="00342734" w:rsidRDefault="00342734" w:rsidP="00DB5B45"/>
    <w:p w:rsidR="00DB5B45" w:rsidRDefault="00342734" w:rsidP="00DB5B45">
      <w:r>
        <w:t>The follow-on to this is to develop certification standards across a range of medical specialties that will allow individual graduates of the Singaporean programs to become board certified.  The American Board of Medical Specialties has been overseeing the development of these programs, and to date several boards, including the American Board of Inter</w:t>
      </w:r>
      <w:r w:rsidR="00AE4814">
        <w:t>nal Medicine and American Board</w:t>
      </w:r>
      <w:r>
        <w:t xml:space="preserve"> of Pediatrics</w:t>
      </w:r>
      <w:r w:rsidR="00AE4814">
        <w:t>,</w:t>
      </w:r>
      <w:r>
        <w:t xml:space="preserve"> have concluded </w:t>
      </w:r>
      <w:r>
        <w:lastRenderedPageBreak/>
        <w:t>agreements with the Ministry of Health to grant board certification (international) to graduates who complete th</w:t>
      </w:r>
      <w:r w:rsidR="00600435">
        <w:t>e ACGME-I accredited programs.</w:t>
      </w:r>
    </w:p>
    <w:p w:rsidR="00342734" w:rsidRDefault="00342734" w:rsidP="00DB5B45"/>
    <w:p w:rsidR="00342734" w:rsidRDefault="00342734" w:rsidP="00DB5B45">
      <w:r>
        <w:t>The ABS declined to be involved in this at the outset, but we have recently been approached by the ABMS with a request that we reevaluate our position.  Dr. Jo</w:t>
      </w:r>
      <w:r w:rsidR="00600435">
        <w:t>seph</w:t>
      </w:r>
      <w:r>
        <w:t xml:space="preserve"> Cofer, current Chair of the ABS, and Dr. Jo Buyske, Associate Executive Director, will therefore visit Singapore later this year to evaluate the details of the training programs there and determine whether we can move ahead in providing </w:t>
      </w:r>
      <w:r w:rsidR="00FF0380">
        <w:t>board certification to the graduates of the surgical programs there which are accredited.</w:t>
      </w:r>
    </w:p>
    <w:p w:rsidR="00DB5B45" w:rsidRDefault="00750644" w:rsidP="00DB5B45">
      <w:r>
        <w:t xml:space="preserve"> </w:t>
      </w:r>
    </w:p>
    <w:p w:rsidR="00FF0380" w:rsidRDefault="00FF0380" w:rsidP="00DB5B45">
      <w:r>
        <w:rPr>
          <w:u w:val="single"/>
        </w:rPr>
        <w:t>D. MOC Task Force</w:t>
      </w:r>
    </w:p>
    <w:p w:rsidR="00FF0380" w:rsidRPr="00FF0380" w:rsidRDefault="00AE4814" w:rsidP="00DB5B45">
      <w:r>
        <w:t xml:space="preserve">The </w:t>
      </w:r>
      <w:r w:rsidR="00826910">
        <w:t>number one</w:t>
      </w:r>
      <w:r>
        <w:t xml:space="preserve"> priority</w:t>
      </w:r>
      <w:r w:rsidR="00FF0380">
        <w:t xml:space="preserve"> out of the Strategic Planning Initiative described earlier was to strengthen the criteria for Maintenance of Certification, particularly in the area of Performance in Practice (Part IV).  In order to address this </w:t>
      </w:r>
      <w:r>
        <w:t>comprehensively, Dr. Cogbill</w:t>
      </w:r>
      <w:r w:rsidR="00FF0380">
        <w:t xml:space="preserve"> created the MOC Task Force, to b</w:t>
      </w:r>
      <w:r>
        <w:t>e chaired by Dr. Cofer, and this group will begin meeting</w:t>
      </w:r>
      <w:r w:rsidR="00FF0380">
        <w:t xml:space="preserve"> this summer to examine the ways in which </w:t>
      </w:r>
      <w:r>
        <w:t>MOC can be streng</w:t>
      </w:r>
      <w:r w:rsidR="00D671A1">
        <w:t>thened for individual surgeons.</w:t>
      </w:r>
    </w:p>
    <w:p w:rsidR="00FF0380" w:rsidRDefault="00FF0380" w:rsidP="00DB5B45"/>
    <w:p w:rsidR="00DB5B45" w:rsidRDefault="00FF0380" w:rsidP="00DB5B45">
      <w:r>
        <w:rPr>
          <w:u w:val="single"/>
        </w:rPr>
        <w:t>E. Reentry to Cer</w:t>
      </w:r>
      <w:r w:rsidR="00AE4814">
        <w:rPr>
          <w:u w:val="single"/>
        </w:rPr>
        <w:t>tification for Diplomates with Lapsed C</w:t>
      </w:r>
      <w:r>
        <w:rPr>
          <w:u w:val="single"/>
        </w:rPr>
        <w:t>ertificates</w:t>
      </w:r>
    </w:p>
    <w:p w:rsidR="00FF0380" w:rsidRDefault="00FF0380" w:rsidP="00DB5B45">
      <w:r>
        <w:t>The ABS has revised its policies in regard to recertification for diplomat</w:t>
      </w:r>
      <w:r w:rsidR="00826910">
        <w:t>e</w:t>
      </w:r>
      <w:r>
        <w:t>s who allow their certificate to laps</w:t>
      </w:r>
      <w:r w:rsidR="00DB31FB">
        <w:t>e at the end of the present ten-</w:t>
      </w:r>
      <w:r>
        <w:t xml:space="preserve">year cycle by failing to </w:t>
      </w:r>
      <w:r w:rsidR="00AE4814">
        <w:t xml:space="preserve">apply for recertification and </w:t>
      </w:r>
      <w:r>
        <w:t>take the recertification examination.  In the past such diplomat</w:t>
      </w:r>
      <w:r w:rsidR="00DB31FB">
        <w:t>e</w:t>
      </w:r>
      <w:r>
        <w:t>s could regain certification by reapplying, and retaking and passing the recertification examination</w:t>
      </w:r>
      <w:r w:rsidR="0092679F">
        <w:t xml:space="preserve"> without additional requirements</w:t>
      </w:r>
      <w:r>
        <w:t>.  At this meeting the ABS determined that diplomat</w:t>
      </w:r>
      <w:r w:rsidR="00DB31FB">
        <w:t>e</w:t>
      </w:r>
      <w:r>
        <w:t>s who allow their certificate to lapse</w:t>
      </w:r>
      <w:r w:rsidR="00043CE5">
        <w:t>, in ad</w:t>
      </w:r>
      <w:r w:rsidR="00DB31FB">
        <w:t>dition to present requirements,</w:t>
      </w:r>
      <w:r>
        <w:t xml:space="preserve"> sh</w:t>
      </w:r>
      <w:r w:rsidR="0092679F">
        <w:t>ould be required</w:t>
      </w:r>
      <w:r>
        <w:t xml:space="preserve"> to pay a penalty of $900 in addition to the examination fees, and to have mandatory audits of their compliance with maintenance of certification standards </w:t>
      </w:r>
      <w:r w:rsidR="00D671A1">
        <w:t>during the subsequent three-year MOC cycle</w:t>
      </w:r>
      <w:r>
        <w:t>.  These changes will take effect in July 2014.</w:t>
      </w:r>
    </w:p>
    <w:p w:rsidR="00FF0380" w:rsidRDefault="00FF0380" w:rsidP="00DB5B45"/>
    <w:p w:rsidR="00342734" w:rsidRPr="00EF0FF9" w:rsidRDefault="00EF0FF9">
      <w:pPr>
        <w:rPr>
          <w:b/>
          <w:u w:val="single"/>
        </w:rPr>
      </w:pPr>
      <w:r w:rsidRPr="003F7438">
        <w:rPr>
          <w:b/>
        </w:rPr>
        <w:t>3.</w:t>
      </w:r>
      <w:r w:rsidR="003F7438">
        <w:rPr>
          <w:b/>
        </w:rPr>
        <w:t xml:space="preserve">  </w:t>
      </w:r>
      <w:r w:rsidRPr="00EF0FF9">
        <w:rPr>
          <w:b/>
          <w:u w:val="single"/>
        </w:rPr>
        <w:t>Resident Issues</w:t>
      </w:r>
    </w:p>
    <w:p w:rsidR="00EF0FF9" w:rsidRDefault="00EF0FF9">
      <w:r>
        <w:rPr>
          <w:u w:val="single"/>
        </w:rPr>
        <w:t>A. Completion of Milestones Project</w:t>
      </w:r>
    </w:p>
    <w:p w:rsidR="00EF0FF9" w:rsidRDefault="0092679F">
      <w:r>
        <w:t>The “Next Accreditation System” of the ACGME, to be progressively implemented in US residencies to replace the current accreditation system, requires that each specialty develop a set of “milestones” which will be used by residency programs for self-assessment</w:t>
      </w:r>
      <w:r w:rsidR="00C72D72">
        <w:t xml:space="preserve"> of their educational efforts, and to subsequently be used by the ACGME to judge the adequacy of ea</w:t>
      </w:r>
      <w:r w:rsidR="00043CE5">
        <w:t>ch training program for</w:t>
      </w:r>
      <w:r w:rsidR="00C72D72">
        <w:t xml:space="preserve"> continuing accreditation.  Each specialty will develop these milestones with joint committees of the ACGME and the specialty boards in each area, in order to provide comprehensive asses</w:t>
      </w:r>
      <w:r w:rsidR="00DB31FB">
        <w:t>sment of resident performance.</w:t>
      </w:r>
    </w:p>
    <w:p w:rsidR="00C72D72" w:rsidRDefault="00C72D72"/>
    <w:p w:rsidR="00C72D72" w:rsidRPr="00EF0FF9" w:rsidRDefault="00C72D72">
      <w:r>
        <w:t>The ABS and ACGME have had such a joint committee operating for the past several years, and this committee finalized the development of a set of milestones for use by surgical residencies approximately a year ago.  These milestones were evaluated in a beta trial during the last academic year, and were then modified based on feedback from the trial and put into final form in the spring of this year.  These finalized milestones are now available for use by surgical residencies generally, beginning with the current academic year.  They will be mandatory for all residency programs starting July 2014, for subsequent ACGME accreditation.</w:t>
      </w:r>
    </w:p>
    <w:p w:rsidR="00EF0FF9" w:rsidRDefault="00EF0FF9"/>
    <w:p w:rsidR="00EF0FF9" w:rsidRPr="00C72D72" w:rsidRDefault="00C72D72">
      <w:pPr>
        <w:rPr>
          <w:u w:val="single"/>
        </w:rPr>
      </w:pPr>
      <w:r w:rsidRPr="00C72D72">
        <w:rPr>
          <w:u w:val="single"/>
        </w:rPr>
        <w:t>B. General Surgical Advisory Council</w:t>
      </w:r>
    </w:p>
    <w:p w:rsidR="00C72D72" w:rsidRDefault="007F794C">
      <w:r>
        <w:t>The General Surgery Advisory Council (GENSAC) was created b</w:t>
      </w:r>
      <w:r w:rsidR="00DB31FB">
        <w:t>y the ABS one year ago on an ad hoc basis with a two-</w:t>
      </w:r>
      <w:r>
        <w:t xml:space="preserve">year lifespan, after which it would either be sunsetted, or would be made a permanent part of the structure of the ABS, depending on its perceived utility at the end of that time.  During the year the committee has had two in-person meetings and one conference call, and has focused its efforts on three </w:t>
      </w:r>
      <w:r>
        <w:lastRenderedPageBreak/>
        <w:t>areas related to resident training:  pre-residency medical school education, residency training, and post-</w:t>
      </w:r>
      <w:r w:rsidR="00DB31FB">
        <w:t>residency fellowship training.</w:t>
      </w:r>
    </w:p>
    <w:p w:rsidR="007F794C" w:rsidRDefault="007F794C"/>
    <w:p w:rsidR="007F794C" w:rsidRDefault="007F794C">
      <w:r>
        <w:t>In regard to medical school education, the committee feels strongly that the training of medica</w:t>
      </w:r>
      <w:r w:rsidR="00043CE5">
        <w:t>l students has deteriorated</w:t>
      </w:r>
      <w:r>
        <w:t xml:space="preserve"> significantly in the last decade, as medical students have been removed from “acting internships” and any type of night call.  There is very litt</w:t>
      </w:r>
      <w:r w:rsidR="00043CE5">
        <w:t>le realistic participation</w:t>
      </w:r>
      <w:r>
        <w:t xml:space="preserve"> in the care of patients </w:t>
      </w:r>
      <w:r w:rsidR="00043CE5">
        <w:t xml:space="preserve">today </w:t>
      </w:r>
      <w:r>
        <w:t xml:space="preserve">in which medical students are given any </w:t>
      </w:r>
      <w:r w:rsidR="00043CE5">
        <w:t xml:space="preserve">direct </w:t>
      </w:r>
      <w:r>
        <w:t>responsibility, and it has become largely a spectator experience.  The</w:t>
      </w:r>
      <w:r w:rsidR="00043CE5">
        <w:t xml:space="preserve"> result is that students</w:t>
      </w:r>
      <w:r>
        <w:t xml:space="preserve"> enter internship without basic skills in patient care</w:t>
      </w:r>
      <w:r w:rsidR="005D3A5F">
        <w:t>, both procedural and cognitive.  Many residencies have found it necessary to establish  a “boot camp” during the first week or month of residency in which many of th</w:t>
      </w:r>
      <w:r w:rsidR="00043CE5">
        <w:t>ese basic skills are taught, although</w:t>
      </w:r>
      <w:r w:rsidR="005D3A5F">
        <w:t xml:space="preserve"> in most </w:t>
      </w:r>
      <w:r w:rsidR="00043CE5">
        <w:t xml:space="preserve">programs </w:t>
      </w:r>
      <w:r w:rsidR="005D3A5F">
        <w:t xml:space="preserve">interns acquire these in a </w:t>
      </w:r>
      <w:r w:rsidR="00D671A1">
        <w:t>non-structured</w:t>
      </w:r>
      <w:r w:rsidR="00DB31FB">
        <w:t xml:space="preserve"> and ad-hoc way.</w:t>
      </w:r>
    </w:p>
    <w:p w:rsidR="005D3A5F" w:rsidRDefault="005D3A5F"/>
    <w:p w:rsidR="005D3A5F" w:rsidRDefault="005D3A5F">
      <w:r>
        <w:t>In recognition of this, the American College of Surgeons has developed over the past few years a comprehensive curriculum for teaching these funda</w:t>
      </w:r>
      <w:r w:rsidR="00043CE5">
        <w:t>mental skills over</w:t>
      </w:r>
      <w:r w:rsidR="00DB31FB">
        <w:t xml:space="preserve"> a six-</w:t>
      </w:r>
      <w:r>
        <w:t>week period, and has recommended that this curriculum be implemented by medical schools for senior medical students in April or May of their senior year, after the results of the match are known.  The course has been made available without charge by the ACS, and it has been designed to allow significant flexibility in implementation by individual schools to meet their own perceived needs.  After careful evaluation of this material, GENSAC prepared a joint statement for both the ACS and ABS to endorse, which strongly supports the adoption of this curriculum on a universal basis by medical schools, in order to provide improved and more uniform preparation of medical stu</w:t>
      </w:r>
      <w:r w:rsidR="00DB31FB">
        <w:t xml:space="preserve">dents for entering internship. </w:t>
      </w:r>
    </w:p>
    <w:p w:rsidR="005D3A5F" w:rsidRDefault="005D3A5F"/>
    <w:p w:rsidR="005D3A5F" w:rsidRDefault="005D3A5F">
      <w:r>
        <w:t>The second area of discussion has been residency itself, and GENSAC has taken the position that one of the most important early issues in residency training is to get residents in the first two years of training into the operating room on a more frequent basis.  The demands of ward work and basic administrative needs in patient care have become so e</w:t>
      </w:r>
      <w:r w:rsidR="00DB31FB">
        <w:t xml:space="preserve">xtensive that interns and </w:t>
      </w:r>
      <w:r w:rsidR="00D671A1">
        <w:t>second</w:t>
      </w:r>
      <w:r w:rsidR="00DB31FB">
        <w:t>-</w:t>
      </w:r>
      <w:r>
        <w:t>year residents today spend the majority of their time pursuing minimally educational activities that preclude their involvement in the OR, and as a result fail to grasp the essential nature of what surgery involves early in their training and choose to switch fields because they find it so unrewarding.</w:t>
      </w:r>
    </w:p>
    <w:p w:rsidR="005D3A5F" w:rsidRDefault="005D3A5F"/>
    <w:p w:rsidR="005D3A5F" w:rsidRDefault="005D3A5F">
      <w:r>
        <w:t>As a result of this, GENSAC recommended to the ABS directors that they adopt a resolution that requires residents at the end of the PGY-2 year to have documented participation in 250 operations either as operating resident or first assistant</w:t>
      </w:r>
      <w:r w:rsidR="00CA4798">
        <w:t>.  This was passed unanimously by the ABS and will now go to the RRC for Surgery for discussion and action</w:t>
      </w:r>
      <w:r w:rsidR="00DB31FB">
        <w:t>.</w:t>
      </w:r>
    </w:p>
    <w:p w:rsidR="00C72D72" w:rsidRDefault="00C72D72"/>
    <w:p w:rsidR="00C72D72" w:rsidRDefault="00CA4798">
      <w:r>
        <w:t>A second resolution of GENSAC was for the ABS to create a resident advisory group which would be created to provide input to the Board in regard to its policies, and to advise on issues that are directly relevant to resident training.  The details of the constitution of this group were left to the Executive Committee to define, and it is anticipate</w:t>
      </w:r>
      <w:r w:rsidR="00043CE5">
        <w:t>d</w:t>
      </w:r>
      <w:r>
        <w:t xml:space="preserve"> that this will occur during the coming year.</w:t>
      </w:r>
    </w:p>
    <w:p w:rsidR="00CA4798" w:rsidRDefault="00CA4798"/>
    <w:p w:rsidR="00CA4798" w:rsidRPr="00CA4798" w:rsidRDefault="00CA4798">
      <w:r>
        <w:rPr>
          <w:u w:val="single"/>
        </w:rPr>
        <w:t>C. Endoscopy Curriculum</w:t>
      </w:r>
    </w:p>
    <w:p w:rsidR="00BE21B2" w:rsidRDefault="00CA4798">
      <w:r>
        <w:t xml:space="preserve">As a result of conflicts with the medical gastrointestinal societies over the competence of surgical residents in performing upper and lower GI endoscopy, the Gastrointestinal </w:t>
      </w:r>
      <w:r w:rsidR="00DB31FB">
        <w:t xml:space="preserve">Surgery </w:t>
      </w:r>
      <w:r>
        <w:t xml:space="preserve">Advisory Council (GISAC) has collaborated with SAGES </w:t>
      </w:r>
      <w:r w:rsidR="00420661">
        <w:t>(Society of American Gastrointestinal and Endoscopic Surgeons) and the ASGE (American Society for Gastrointestinal Endoscopy)</w:t>
      </w:r>
      <w:r w:rsidR="00043CE5">
        <w:t xml:space="preserve"> during the last two years.  This group</w:t>
      </w:r>
      <w:r w:rsidR="00420661">
        <w:t xml:space="preserve"> has developed a comprehensive curriculum in the performance of endoscopy, which has been endorsed by the ABS and </w:t>
      </w:r>
      <w:r w:rsidR="00466BA8">
        <w:t xml:space="preserve">is currently </w:t>
      </w:r>
      <w:r w:rsidR="00420661">
        <w:t>established as a requirement for residents completing residency a</w:t>
      </w:r>
      <w:r w:rsidR="00466BA8">
        <w:t>s of</w:t>
      </w:r>
      <w:r w:rsidR="00420661">
        <w:t xml:space="preserve"> June 201</w:t>
      </w:r>
      <w:r w:rsidR="00466BA8">
        <w:t>8 and forward</w:t>
      </w:r>
      <w:r w:rsidR="00420661">
        <w:t xml:space="preserve">.  This </w:t>
      </w:r>
      <w:r w:rsidR="00420661">
        <w:lastRenderedPageBreak/>
        <w:t>includes completion of the Fundamentals of Endoscopic Surgery, a new teaching and testing standard developed by SAGES in regard to the technica</w:t>
      </w:r>
      <w:r w:rsidR="00DB31FB">
        <w:t>l performance of GI endoscopy.</w:t>
      </w:r>
    </w:p>
    <w:p w:rsidR="00420661" w:rsidRDefault="00420661"/>
    <w:p w:rsidR="00420661" w:rsidRDefault="00420661">
      <w:r>
        <w:t xml:space="preserve">There has been significant concern on the part of program </w:t>
      </w:r>
      <w:r w:rsidR="008E13E9">
        <w:t xml:space="preserve">directors that this requirement, both in regard to direct cost and resource requirements, will be hard to meet, particularly for larger residency programs.  GISAC discussed this in detail at the June meeting, and while acknowledging the difficulty which has been raised by </w:t>
      </w:r>
      <w:r w:rsidR="00DB31FB">
        <w:t>program director</w:t>
      </w:r>
      <w:r w:rsidR="008E13E9">
        <w:t>s, felt it was essential that these standards be implemented in order to assure that surgical residents indeed do acquire the needed skills.  It was noted that over a long period of time the performance of endoscopy by surgeons in practice is always among the top five most common procedures performed.  It was therefore felt that this constitutes a core area of general surgical training today, and that validated competency is necessary for residents at graduation.</w:t>
      </w:r>
    </w:p>
    <w:p w:rsidR="00BE21B2" w:rsidRDefault="00BE21B2"/>
    <w:p w:rsidR="008E13E9" w:rsidRDefault="008E13E9">
      <w:r>
        <w:rPr>
          <w:u w:val="single"/>
        </w:rPr>
        <w:t>D. Survey of Graduating Residents and Fellows</w:t>
      </w:r>
    </w:p>
    <w:p w:rsidR="008E13E9" w:rsidRDefault="008E13E9">
      <w:r>
        <w:t xml:space="preserve">There has been considerable discussion over the last two years in multiple forums about the perceived deficiencies in performance of </w:t>
      </w:r>
      <w:bookmarkStart w:id="0" w:name="_GoBack"/>
      <w:bookmarkEnd w:id="0"/>
      <w:r>
        <w:t>graduating surgical re</w:t>
      </w:r>
      <w:r w:rsidR="00043CE5">
        <w:t>sidents</w:t>
      </w:r>
      <w:r>
        <w:t xml:space="preserve">, and discussion about the need for an additional sixth year of training </w:t>
      </w:r>
      <w:r w:rsidR="00D671A1">
        <w:t xml:space="preserve">or of a mandatory fellowship </w:t>
      </w:r>
      <w:r>
        <w:t xml:space="preserve">as a general requirement.  Since 80% of graduating residents enter post-residency fellowships, only 20% of residents do not complete </w:t>
      </w:r>
      <w:r w:rsidR="00DB31FB">
        <w:t>at least a sixth year of training</w:t>
      </w:r>
      <w:r>
        <w:t>.</w:t>
      </w:r>
    </w:p>
    <w:p w:rsidR="008E13E9" w:rsidRDefault="008E13E9"/>
    <w:p w:rsidR="008E13E9" w:rsidRDefault="008E13E9">
      <w:r>
        <w:t xml:space="preserve">The ABS is commissioning a survey, to be done over the remainder of this year, of two groups of residents:  those who complete five years of training and enter practice directly, and those who pursue fellowships for a sixth </w:t>
      </w:r>
      <w:r w:rsidR="00DB31FB">
        <w:t>year or more</w:t>
      </w:r>
      <w:r>
        <w:t>.  Residents who have graduated during the last 3-5 years in both groups will be surveyed.</w:t>
      </w:r>
    </w:p>
    <w:p w:rsidR="008E13E9" w:rsidRDefault="008E13E9">
      <w:r>
        <w:t>The purpose of this is to explore more fully exactly what the differences are in attitude and experience of these two groups, and what their feedback is after entering practice.  It is hoped that results of this survey will be available by the January</w:t>
      </w:r>
      <w:r w:rsidR="009F136D">
        <w:t xml:space="preserve"> 2014</w:t>
      </w:r>
      <w:r>
        <w:t xml:space="preserve"> meeting to better inform any future actions in regard to training.</w:t>
      </w:r>
    </w:p>
    <w:p w:rsidR="008E13E9" w:rsidRDefault="008E13E9"/>
    <w:p w:rsidR="00E52E56" w:rsidRDefault="00E52E56">
      <w:pPr>
        <w:rPr>
          <w:b/>
          <w:u w:val="single"/>
        </w:rPr>
      </w:pPr>
      <w:r w:rsidRPr="003F7438">
        <w:rPr>
          <w:b/>
        </w:rPr>
        <w:t>4.</w:t>
      </w:r>
      <w:r w:rsidR="003F7438">
        <w:rPr>
          <w:b/>
        </w:rPr>
        <w:t xml:space="preserve">  </w:t>
      </w:r>
      <w:r>
        <w:rPr>
          <w:b/>
          <w:u w:val="single"/>
        </w:rPr>
        <w:t>New Officers</w:t>
      </w:r>
    </w:p>
    <w:p w:rsidR="00E52E56" w:rsidRPr="00E52E56" w:rsidRDefault="00E52E56">
      <w:r>
        <w:t>Dr. Jo</w:t>
      </w:r>
      <w:r w:rsidR="003F7438">
        <w:t>seph</w:t>
      </w:r>
      <w:r>
        <w:t xml:space="preserve"> Cofer assumed the position of Chair of the ABS at the conclusion of the meeting, with Dr. Da</w:t>
      </w:r>
      <w:r w:rsidR="003F7438">
        <w:t>vid</w:t>
      </w:r>
      <w:r>
        <w:t xml:space="preserve"> Mahvi </w:t>
      </w:r>
      <w:r w:rsidR="00635856">
        <w:t xml:space="preserve">moving to </w:t>
      </w:r>
      <w:r>
        <w:t xml:space="preserve">Vice Chair.  In subsequent </w:t>
      </w:r>
      <w:r w:rsidR="00635856">
        <w:t xml:space="preserve">summer </w:t>
      </w:r>
      <w:r>
        <w:t>elections Dr. Ste</w:t>
      </w:r>
      <w:r w:rsidR="003F7438">
        <w:t>phen</w:t>
      </w:r>
      <w:r>
        <w:t xml:space="preserve"> Eva</w:t>
      </w:r>
      <w:r w:rsidR="009F136D">
        <w:t xml:space="preserve">ns was </w:t>
      </w:r>
      <w:r>
        <w:t>elected as the Vice Chair Elect for the coming year.</w:t>
      </w:r>
    </w:p>
    <w:p w:rsidR="00E52E56" w:rsidRDefault="00E52E56">
      <w:pPr>
        <w:rPr>
          <w:b/>
          <w:u w:val="single"/>
        </w:rPr>
      </w:pPr>
    </w:p>
    <w:p w:rsidR="008E13E9" w:rsidRPr="008E13E9" w:rsidRDefault="003F7438">
      <w:pPr>
        <w:rPr>
          <w:b/>
          <w:u w:val="single"/>
        </w:rPr>
      </w:pPr>
      <w:r>
        <w:rPr>
          <w:b/>
        </w:rPr>
        <w:t>5</w:t>
      </w:r>
      <w:r w:rsidR="008E13E9" w:rsidRPr="003F7438">
        <w:rPr>
          <w:b/>
        </w:rPr>
        <w:t xml:space="preserve">. </w:t>
      </w:r>
      <w:r w:rsidRPr="003F7438">
        <w:rPr>
          <w:b/>
        </w:rPr>
        <w:t xml:space="preserve"> </w:t>
      </w:r>
      <w:r>
        <w:rPr>
          <w:b/>
          <w:u w:val="single"/>
        </w:rPr>
        <w:t>Necrology</w:t>
      </w:r>
    </w:p>
    <w:p w:rsidR="003F7438" w:rsidRDefault="003F7438">
      <w:pPr>
        <w:rPr>
          <w:rFonts w:eastAsia="Times New Roman" w:cs="Times New Roman"/>
        </w:rPr>
      </w:pPr>
      <w:r>
        <w:t xml:space="preserve">The Board was notified that Dr. John M. Beal, Jr. died June 3, 2013.  He </w:t>
      </w:r>
      <w:r w:rsidRPr="003F7438">
        <w:rPr>
          <w:rFonts w:eastAsia="Times New Roman" w:cs="Times New Roman"/>
        </w:rPr>
        <w:t xml:space="preserve">was </w:t>
      </w:r>
      <w:r>
        <w:rPr>
          <w:rFonts w:eastAsia="Times New Roman" w:cs="Times New Roman"/>
        </w:rPr>
        <w:t>elected</w:t>
      </w:r>
      <w:r w:rsidRPr="003F7438">
        <w:rPr>
          <w:rFonts w:eastAsia="Times New Roman" w:cs="Times New Roman"/>
        </w:rPr>
        <w:t xml:space="preserve"> as a member of the American Board of Surgery </w:t>
      </w:r>
      <w:r>
        <w:rPr>
          <w:rFonts w:eastAsia="Times New Roman" w:cs="Times New Roman"/>
        </w:rPr>
        <w:t xml:space="preserve">in 1965, </w:t>
      </w:r>
      <w:r w:rsidRPr="003F7438">
        <w:rPr>
          <w:rFonts w:eastAsia="Times New Roman" w:cs="Times New Roman"/>
        </w:rPr>
        <w:t>and served as Chairman of the Board 1970-1971.</w:t>
      </w:r>
    </w:p>
    <w:p w:rsidR="003F7438" w:rsidRDefault="003F7438">
      <w:pPr>
        <w:rPr>
          <w:rFonts w:eastAsia="Times New Roman" w:cs="Times New Roman"/>
        </w:rPr>
      </w:pPr>
      <w:r>
        <w:rPr>
          <w:rFonts w:eastAsia="Times New Roman" w:cs="Times New Roman"/>
        </w:rPr>
        <w:br w:type="page"/>
      </w:r>
    </w:p>
    <w:p w:rsidR="00466BA8" w:rsidRPr="00466BA8" w:rsidRDefault="00466BA8" w:rsidP="00466BA8">
      <w:pPr>
        <w:widowControl w:val="0"/>
        <w:jc w:val="center"/>
        <w:rPr>
          <w:b/>
          <w:sz w:val="18"/>
          <w:szCs w:val="18"/>
          <w:u w:val="single"/>
        </w:rPr>
      </w:pPr>
      <w:r w:rsidRPr="00466BA8">
        <w:rPr>
          <w:b/>
          <w:sz w:val="18"/>
          <w:szCs w:val="18"/>
          <w:u w:val="single"/>
        </w:rPr>
        <w:lastRenderedPageBreak/>
        <w:t>AMERICAN BOARD OF SURGERY</w:t>
      </w:r>
    </w:p>
    <w:p w:rsidR="00466BA8" w:rsidRPr="00466BA8" w:rsidRDefault="00466BA8" w:rsidP="00466BA8">
      <w:pPr>
        <w:widowControl w:val="0"/>
        <w:jc w:val="center"/>
        <w:rPr>
          <w:sz w:val="18"/>
          <w:szCs w:val="18"/>
        </w:rPr>
      </w:pPr>
      <w:r w:rsidRPr="00466BA8">
        <w:rPr>
          <w:b/>
          <w:sz w:val="18"/>
          <w:szCs w:val="18"/>
          <w:u w:val="single"/>
        </w:rPr>
        <w:t>SUMMARY OF 2012-2013 EXAMINATIONS</w:t>
      </w:r>
    </w:p>
    <w:p w:rsidR="00466BA8" w:rsidRPr="00466BA8" w:rsidRDefault="00466BA8" w:rsidP="00466BA8">
      <w:pPr>
        <w:widowControl w:val="0"/>
        <w:jc w:val="both"/>
        <w:rPr>
          <w:sz w:val="18"/>
          <w:szCs w:val="18"/>
        </w:rPr>
      </w:pPr>
      <w:r w:rsidRPr="00466BA8">
        <w:rPr>
          <w:sz w:val="18"/>
          <w:szCs w:val="18"/>
        </w:rPr>
        <w:tab/>
      </w:r>
    </w:p>
    <w:tbl>
      <w:tblPr>
        <w:tblW w:w="11910" w:type="dxa"/>
        <w:tblInd w:w="210" w:type="dxa"/>
        <w:tblLayout w:type="fixed"/>
        <w:tblCellMar>
          <w:left w:w="120" w:type="dxa"/>
          <w:right w:w="120" w:type="dxa"/>
        </w:tblCellMar>
        <w:tblLook w:val="0000"/>
      </w:tblPr>
      <w:tblGrid>
        <w:gridCol w:w="2250"/>
        <w:gridCol w:w="1620"/>
        <w:gridCol w:w="1440"/>
        <w:gridCol w:w="1260"/>
        <w:gridCol w:w="1440"/>
        <w:gridCol w:w="1170"/>
        <w:gridCol w:w="2730"/>
      </w:tblGrid>
      <w:tr w:rsidR="00466BA8" w:rsidRPr="00466BA8" w:rsidTr="00466BA8">
        <w:tc>
          <w:tcPr>
            <w:tcW w:w="2250" w:type="dxa"/>
          </w:tcPr>
          <w:p w:rsidR="00466BA8" w:rsidRPr="00466BA8" w:rsidRDefault="00466BA8" w:rsidP="00466BA8">
            <w:pPr>
              <w:widowControl w:val="0"/>
              <w:jc w:val="both"/>
              <w:rPr>
                <w:sz w:val="18"/>
                <w:szCs w:val="18"/>
              </w:rPr>
            </w:pPr>
          </w:p>
          <w:p w:rsidR="00466BA8" w:rsidRPr="00466BA8" w:rsidRDefault="00466BA8" w:rsidP="00466BA8">
            <w:pPr>
              <w:widowControl w:val="0"/>
              <w:spacing w:after="19"/>
              <w:jc w:val="both"/>
              <w:rPr>
                <w:b/>
                <w:sz w:val="18"/>
                <w:szCs w:val="18"/>
              </w:rPr>
            </w:pPr>
            <w:r w:rsidRPr="00466BA8">
              <w:rPr>
                <w:b/>
                <w:sz w:val="18"/>
                <w:szCs w:val="18"/>
              </w:rPr>
              <w:t>Examination</w:t>
            </w:r>
          </w:p>
        </w:tc>
        <w:tc>
          <w:tcPr>
            <w:tcW w:w="1620" w:type="dxa"/>
          </w:tcPr>
          <w:p w:rsidR="00466BA8" w:rsidRPr="00466BA8" w:rsidRDefault="00466BA8" w:rsidP="00466BA8">
            <w:pPr>
              <w:widowControl w:val="0"/>
              <w:rPr>
                <w:b/>
                <w:sz w:val="18"/>
                <w:szCs w:val="18"/>
              </w:rPr>
            </w:pPr>
            <w:r w:rsidRPr="00466BA8">
              <w:rPr>
                <w:b/>
                <w:sz w:val="18"/>
                <w:szCs w:val="18"/>
              </w:rPr>
              <w:t># of</w:t>
            </w:r>
          </w:p>
          <w:p w:rsidR="00466BA8" w:rsidRPr="00466BA8" w:rsidRDefault="00466BA8" w:rsidP="00466BA8">
            <w:pPr>
              <w:widowControl w:val="0"/>
              <w:spacing w:after="19"/>
              <w:rPr>
                <w:sz w:val="18"/>
                <w:szCs w:val="18"/>
              </w:rPr>
            </w:pPr>
            <w:r w:rsidRPr="00466BA8">
              <w:rPr>
                <w:b/>
                <w:sz w:val="18"/>
                <w:szCs w:val="18"/>
              </w:rPr>
              <w:t>Examinees</w:t>
            </w:r>
          </w:p>
        </w:tc>
        <w:tc>
          <w:tcPr>
            <w:tcW w:w="1440" w:type="dxa"/>
          </w:tcPr>
          <w:p w:rsidR="00466BA8" w:rsidRPr="00466BA8" w:rsidRDefault="00466BA8" w:rsidP="00466BA8">
            <w:pPr>
              <w:widowControl w:val="0"/>
              <w:spacing w:after="19"/>
              <w:rPr>
                <w:b/>
                <w:sz w:val="18"/>
                <w:szCs w:val="18"/>
              </w:rPr>
            </w:pPr>
            <w:r w:rsidRPr="00466BA8">
              <w:rPr>
                <w:b/>
                <w:sz w:val="18"/>
                <w:szCs w:val="18"/>
              </w:rPr>
              <w:t>#</w:t>
            </w:r>
          </w:p>
          <w:p w:rsidR="00466BA8" w:rsidRPr="00466BA8" w:rsidRDefault="00466BA8" w:rsidP="00466BA8">
            <w:pPr>
              <w:widowControl w:val="0"/>
              <w:spacing w:after="19"/>
              <w:rPr>
                <w:b/>
                <w:sz w:val="18"/>
                <w:szCs w:val="18"/>
              </w:rPr>
            </w:pPr>
            <w:r w:rsidRPr="00466BA8">
              <w:rPr>
                <w:b/>
                <w:sz w:val="18"/>
                <w:szCs w:val="18"/>
              </w:rPr>
              <w:t>Pass</w:t>
            </w:r>
          </w:p>
        </w:tc>
        <w:tc>
          <w:tcPr>
            <w:tcW w:w="1260" w:type="dxa"/>
          </w:tcPr>
          <w:p w:rsidR="00466BA8" w:rsidRPr="00466BA8" w:rsidRDefault="00466BA8" w:rsidP="00466BA8">
            <w:pPr>
              <w:widowControl w:val="0"/>
              <w:spacing w:after="19"/>
              <w:rPr>
                <w:b/>
                <w:sz w:val="18"/>
                <w:szCs w:val="18"/>
              </w:rPr>
            </w:pPr>
            <w:r w:rsidRPr="00466BA8">
              <w:rPr>
                <w:b/>
                <w:sz w:val="18"/>
                <w:szCs w:val="18"/>
              </w:rPr>
              <w:t>#</w:t>
            </w:r>
          </w:p>
          <w:p w:rsidR="00466BA8" w:rsidRPr="00466BA8" w:rsidRDefault="00466BA8" w:rsidP="00466BA8">
            <w:pPr>
              <w:widowControl w:val="0"/>
              <w:spacing w:after="19"/>
              <w:rPr>
                <w:sz w:val="18"/>
                <w:szCs w:val="18"/>
              </w:rPr>
            </w:pPr>
            <w:r w:rsidRPr="00466BA8">
              <w:rPr>
                <w:b/>
                <w:sz w:val="18"/>
                <w:szCs w:val="18"/>
              </w:rPr>
              <w:t>Fail</w:t>
            </w:r>
          </w:p>
        </w:tc>
        <w:tc>
          <w:tcPr>
            <w:tcW w:w="1440" w:type="dxa"/>
          </w:tcPr>
          <w:p w:rsidR="00466BA8" w:rsidRPr="00466BA8" w:rsidRDefault="00466BA8" w:rsidP="00466BA8">
            <w:pPr>
              <w:widowControl w:val="0"/>
              <w:rPr>
                <w:b/>
                <w:sz w:val="18"/>
                <w:szCs w:val="18"/>
              </w:rPr>
            </w:pPr>
            <w:r w:rsidRPr="00466BA8">
              <w:rPr>
                <w:b/>
                <w:sz w:val="18"/>
                <w:szCs w:val="18"/>
              </w:rPr>
              <w:t>Pass</w:t>
            </w:r>
          </w:p>
          <w:p w:rsidR="00466BA8" w:rsidRPr="00466BA8" w:rsidRDefault="00466BA8" w:rsidP="00466BA8">
            <w:pPr>
              <w:widowControl w:val="0"/>
              <w:spacing w:after="19"/>
              <w:rPr>
                <w:sz w:val="18"/>
                <w:szCs w:val="18"/>
              </w:rPr>
            </w:pPr>
            <w:r w:rsidRPr="00466BA8">
              <w:rPr>
                <w:b/>
                <w:sz w:val="18"/>
                <w:szCs w:val="18"/>
              </w:rPr>
              <w:t>Rate</w:t>
            </w:r>
          </w:p>
        </w:tc>
        <w:tc>
          <w:tcPr>
            <w:tcW w:w="1170" w:type="dxa"/>
          </w:tcPr>
          <w:p w:rsidR="00466BA8" w:rsidRPr="00466BA8" w:rsidRDefault="00466BA8" w:rsidP="00466BA8">
            <w:pPr>
              <w:widowControl w:val="0"/>
              <w:rPr>
                <w:b/>
                <w:sz w:val="18"/>
                <w:szCs w:val="18"/>
              </w:rPr>
            </w:pPr>
            <w:r w:rsidRPr="00466BA8">
              <w:rPr>
                <w:b/>
                <w:sz w:val="18"/>
                <w:szCs w:val="18"/>
              </w:rPr>
              <w:t>Fail</w:t>
            </w:r>
          </w:p>
          <w:p w:rsidR="00466BA8" w:rsidRPr="00466BA8" w:rsidRDefault="00466BA8" w:rsidP="00466BA8">
            <w:pPr>
              <w:widowControl w:val="0"/>
              <w:spacing w:after="19"/>
              <w:rPr>
                <w:sz w:val="18"/>
                <w:szCs w:val="18"/>
              </w:rPr>
            </w:pPr>
            <w:r w:rsidRPr="00466BA8">
              <w:rPr>
                <w:b/>
                <w:sz w:val="18"/>
                <w:szCs w:val="18"/>
              </w:rPr>
              <w:t>Rate</w:t>
            </w:r>
          </w:p>
        </w:tc>
        <w:tc>
          <w:tcPr>
            <w:tcW w:w="2730" w:type="dxa"/>
          </w:tcPr>
          <w:p w:rsidR="00466BA8" w:rsidRPr="00466BA8" w:rsidRDefault="00466BA8" w:rsidP="00466BA8">
            <w:pPr>
              <w:widowControl w:val="0"/>
              <w:spacing w:after="19"/>
              <w:rPr>
                <w:b/>
                <w:sz w:val="18"/>
                <w:szCs w:val="18"/>
              </w:rPr>
            </w:pPr>
            <w:r w:rsidRPr="00466BA8">
              <w:rPr>
                <w:b/>
                <w:sz w:val="18"/>
                <w:szCs w:val="18"/>
              </w:rPr>
              <w:t>Total #</w:t>
            </w:r>
          </w:p>
          <w:p w:rsidR="00466BA8" w:rsidRPr="00466BA8" w:rsidRDefault="00466BA8" w:rsidP="00466BA8">
            <w:pPr>
              <w:widowControl w:val="0"/>
              <w:spacing w:after="19"/>
              <w:rPr>
                <w:sz w:val="18"/>
                <w:szCs w:val="18"/>
              </w:rPr>
            </w:pPr>
            <w:r w:rsidRPr="00466BA8">
              <w:rPr>
                <w:b/>
                <w:sz w:val="18"/>
                <w:szCs w:val="18"/>
              </w:rPr>
              <w:t>Diplomates</w:t>
            </w:r>
          </w:p>
        </w:tc>
      </w:tr>
      <w:tr w:rsidR="00466BA8" w:rsidRPr="00466BA8" w:rsidTr="00466BA8">
        <w:tc>
          <w:tcPr>
            <w:tcW w:w="2250" w:type="dxa"/>
            <w:tcBorders>
              <w:top w:val="single" w:sz="12" w:space="0" w:color="auto"/>
            </w:tcBorders>
            <w:vAlign w:val="center"/>
          </w:tcPr>
          <w:p w:rsidR="00466BA8" w:rsidRPr="00466BA8" w:rsidRDefault="00466BA8" w:rsidP="00466BA8">
            <w:pPr>
              <w:widowControl w:val="0"/>
              <w:rPr>
                <w:sz w:val="18"/>
                <w:szCs w:val="18"/>
              </w:rPr>
            </w:pPr>
            <w:bookmarkStart w:id="1" w:name="_Hlk295744061"/>
          </w:p>
          <w:p w:rsidR="00466BA8" w:rsidRPr="00466BA8" w:rsidRDefault="00466BA8" w:rsidP="00466BA8">
            <w:pPr>
              <w:widowControl w:val="0"/>
              <w:rPr>
                <w:sz w:val="18"/>
                <w:szCs w:val="18"/>
              </w:rPr>
            </w:pPr>
            <w:r w:rsidRPr="00466BA8">
              <w:rPr>
                <w:sz w:val="18"/>
                <w:szCs w:val="18"/>
              </w:rPr>
              <w:t>Qualifying</w:t>
            </w:r>
          </w:p>
        </w:tc>
        <w:tc>
          <w:tcPr>
            <w:tcW w:w="1620" w:type="dxa"/>
            <w:tcBorders>
              <w:top w:val="single" w:sz="12" w:space="0" w:color="auto"/>
            </w:tcBorders>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1,356</w:t>
            </w:r>
          </w:p>
        </w:tc>
        <w:tc>
          <w:tcPr>
            <w:tcW w:w="1440" w:type="dxa"/>
            <w:tcBorders>
              <w:top w:val="single" w:sz="12" w:space="0" w:color="auto"/>
            </w:tcBorders>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1,074</w:t>
            </w:r>
          </w:p>
        </w:tc>
        <w:tc>
          <w:tcPr>
            <w:tcW w:w="1260" w:type="dxa"/>
            <w:tcBorders>
              <w:top w:val="single" w:sz="12" w:space="0" w:color="auto"/>
            </w:tcBorders>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282</w:t>
            </w:r>
          </w:p>
        </w:tc>
        <w:tc>
          <w:tcPr>
            <w:tcW w:w="1440" w:type="dxa"/>
            <w:tcBorders>
              <w:top w:val="single" w:sz="12" w:space="0" w:color="auto"/>
            </w:tcBorders>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79.2%</w:t>
            </w:r>
          </w:p>
        </w:tc>
        <w:tc>
          <w:tcPr>
            <w:tcW w:w="1170" w:type="dxa"/>
            <w:tcBorders>
              <w:top w:val="single" w:sz="12" w:space="0" w:color="auto"/>
            </w:tcBorders>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20.8%</w:t>
            </w:r>
          </w:p>
        </w:tc>
        <w:tc>
          <w:tcPr>
            <w:tcW w:w="2730" w:type="dxa"/>
            <w:tcBorders>
              <w:top w:val="single" w:sz="12" w:space="0" w:color="auto"/>
            </w:tcBorders>
            <w:vAlign w:val="bottom"/>
          </w:tcPr>
          <w:p w:rsidR="00466BA8" w:rsidRPr="00466BA8" w:rsidRDefault="00466BA8" w:rsidP="00466BA8">
            <w:pPr>
              <w:widowControl w:val="0"/>
              <w:jc w:val="center"/>
              <w:rPr>
                <w:sz w:val="18"/>
                <w:szCs w:val="18"/>
              </w:rPr>
            </w:pPr>
          </w:p>
        </w:tc>
      </w:tr>
      <w:tr w:rsidR="00466BA8" w:rsidRPr="00466BA8" w:rsidTr="00466BA8">
        <w:tc>
          <w:tcPr>
            <w:tcW w:w="2250" w:type="dxa"/>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Recertification</w:t>
            </w:r>
          </w:p>
        </w:tc>
        <w:tc>
          <w:tcPr>
            <w:tcW w:w="162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1,825</w:t>
            </w:r>
          </w:p>
        </w:tc>
        <w:tc>
          <w:tcPr>
            <w:tcW w:w="144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1,758</w:t>
            </w:r>
          </w:p>
        </w:tc>
        <w:tc>
          <w:tcPr>
            <w:tcW w:w="126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67</w:t>
            </w:r>
          </w:p>
        </w:tc>
        <w:tc>
          <w:tcPr>
            <w:tcW w:w="144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96.3%</w:t>
            </w:r>
          </w:p>
        </w:tc>
        <w:tc>
          <w:tcPr>
            <w:tcW w:w="1170" w:type="dxa"/>
            <w:vAlign w:val="bottom"/>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 xml:space="preserve">  3.7%</w:t>
            </w:r>
          </w:p>
        </w:tc>
        <w:tc>
          <w:tcPr>
            <w:tcW w:w="273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21,627</w:t>
            </w:r>
          </w:p>
        </w:tc>
      </w:tr>
      <w:tr w:rsidR="00466BA8" w:rsidRPr="00466BA8" w:rsidTr="00466BA8">
        <w:tc>
          <w:tcPr>
            <w:tcW w:w="2250" w:type="dxa"/>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Vascular Surgery QE</w:t>
            </w:r>
          </w:p>
        </w:tc>
        <w:tc>
          <w:tcPr>
            <w:tcW w:w="162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123</w:t>
            </w:r>
          </w:p>
        </w:tc>
        <w:tc>
          <w:tcPr>
            <w:tcW w:w="144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111</w:t>
            </w:r>
          </w:p>
        </w:tc>
        <w:tc>
          <w:tcPr>
            <w:tcW w:w="126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12</w:t>
            </w:r>
          </w:p>
        </w:tc>
        <w:tc>
          <w:tcPr>
            <w:tcW w:w="144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90.2%</w:t>
            </w:r>
          </w:p>
        </w:tc>
        <w:tc>
          <w:tcPr>
            <w:tcW w:w="117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9.8%</w:t>
            </w:r>
          </w:p>
        </w:tc>
        <w:tc>
          <w:tcPr>
            <w:tcW w:w="2730" w:type="dxa"/>
            <w:vAlign w:val="bottom"/>
          </w:tcPr>
          <w:p w:rsidR="00466BA8" w:rsidRPr="00466BA8" w:rsidRDefault="00466BA8" w:rsidP="00466BA8">
            <w:pPr>
              <w:widowControl w:val="0"/>
              <w:jc w:val="center"/>
              <w:rPr>
                <w:sz w:val="18"/>
                <w:szCs w:val="18"/>
              </w:rPr>
            </w:pPr>
          </w:p>
        </w:tc>
      </w:tr>
      <w:bookmarkEnd w:id="1"/>
      <w:tr w:rsidR="00466BA8" w:rsidRPr="00466BA8" w:rsidTr="00466BA8">
        <w:tc>
          <w:tcPr>
            <w:tcW w:w="2250" w:type="dxa"/>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Vascular Surgery Rct.</w:t>
            </w:r>
          </w:p>
        </w:tc>
        <w:tc>
          <w:tcPr>
            <w:tcW w:w="1620" w:type="dxa"/>
            <w:vAlign w:val="bottom"/>
          </w:tcPr>
          <w:p w:rsidR="00466BA8" w:rsidRPr="00466BA8" w:rsidRDefault="00466BA8" w:rsidP="00466BA8">
            <w:pPr>
              <w:widowControl w:val="0"/>
              <w:rPr>
                <w:sz w:val="18"/>
                <w:szCs w:val="18"/>
              </w:rPr>
            </w:pPr>
            <w:r w:rsidRPr="00466BA8">
              <w:rPr>
                <w:sz w:val="18"/>
                <w:szCs w:val="18"/>
              </w:rPr>
              <w:t xml:space="preserve">   216</w:t>
            </w:r>
          </w:p>
        </w:tc>
        <w:tc>
          <w:tcPr>
            <w:tcW w:w="1440" w:type="dxa"/>
            <w:vAlign w:val="bottom"/>
          </w:tcPr>
          <w:p w:rsidR="00466BA8" w:rsidRPr="00466BA8" w:rsidRDefault="00466BA8" w:rsidP="00466BA8">
            <w:pPr>
              <w:widowControl w:val="0"/>
              <w:rPr>
                <w:sz w:val="18"/>
                <w:szCs w:val="18"/>
              </w:rPr>
            </w:pPr>
            <w:r w:rsidRPr="00466BA8">
              <w:rPr>
                <w:sz w:val="18"/>
                <w:szCs w:val="18"/>
              </w:rPr>
              <w:t xml:space="preserve">   205</w:t>
            </w:r>
          </w:p>
        </w:tc>
        <w:tc>
          <w:tcPr>
            <w:tcW w:w="1260" w:type="dxa"/>
            <w:vAlign w:val="bottom"/>
          </w:tcPr>
          <w:p w:rsidR="00466BA8" w:rsidRPr="00466BA8" w:rsidRDefault="00466BA8" w:rsidP="00466BA8">
            <w:pPr>
              <w:widowControl w:val="0"/>
              <w:rPr>
                <w:sz w:val="18"/>
                <w:szCs w:val="18"/>
              </w:rPr>
            </w:pPr>
            <w:r w:rsidRPr="00466BA8">
              <w:rPr>
                <w:sz w:val="18"/>
                <w:szCs w:val="18"/>
              </w:rPr>
              <w:t xml:space="preserve">  11</w:t>
            </w:r>
          </w:p>
        </w:tc>
        <w:tc>
          <w:tcPr>
            <w:tcW w:w="1440" w:type="dxa"/>
            <w:vAlign w:val="bottom"/>
          </w:tcPr>
          <w:p w:rsidR="00466BA8" w:rsidRPr="00466BA8" w:rsidRDefault="00466BA8" w:rsidP="00466BA8">
            <w:pPr>
              <w:widowControl w:val="0"/>
              <w:rPr>
                <w:sz w:val="18"/>
                <w:szCs w:val="18"/>
              </w:rPr>
            </w:pPr>
            <w:r w:rsidRPr="00466BA8">
              <w:rPr>
                <w:sz w:val="18"/>
                <w:szCs w:val="18"/>
              </w:rPr>
              <w:t>94.9%</w:t>
            </w:r>
          </w:p>
        </w:tc>
        <w:tc>
          <w:tcPr>
            <w:tcW w:w="1170" w:type="dxa"/>
            <w:vAlign w:val="bottom"/>
          </w:tcPr>
          <w:p w:rsidR="00466BA8" w:rsidRPr="00466BA8" w:rsidRDefault="00466BA8" w:rsidP="00466BA8">
            <w:pPr>
              <w:widowControl w:val="0"/>
              <w:rPr>
                <w:sz w:val="18"/>
                <w:szCs w:val="18"/>
              </w:rPr>
            </w:pPr>
            <w:r w:rsidRPr="00466BA8">
              <w:rPr>
                <w:sz w:val="18"/>
                <w:szCs w:val="18"/>
              </w:rPr>
              <w:t xml:space="preserve">  5.1%</w:t>
            </w:r>
          </w:p>
        </w:tc>
        <w:tc>
          <w:tcPr>
            <w:tcW w:w="2730" w:type="dxa"/>
            <w:vAlign w:val="bottom"/>
          </w:tcPr>
          <w:p w:rsidR="00466BA8" w:rsidRPr="00466BA8" w:rsidRDefault="00466BA8" w:rsidP="00466BA8">
            <w:pPr>
              <w:widowControl w:val="0"/>
              <w:rPr>
                <w:sz w:val="18"/>
                <w:szCs w:val="18"/>
              </w:rPr>
            </w:pPr>
            <w:r w:rsidRPr="00466BA8">
              <w:rPr>
                <w:sz w:val="18"/>
                <w:szCs w:val="18"/>
              </w:rPr>
              <w:t xml:space="preserve">  2,050</w:t>
            </w:r>
          </w:p>
        </w:tc>
      </w:tr>
      <w:tr w:rsidR="00466BA8" w:rsidRPr="00466BA8" w:rsidTr="00466BA8">
        <w:tc>
          <w:tcPr>
            <w:tcW w:w="2250" w:type="dxa"/>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Surgical Principles Exam</w:t>
            </w:r>
          </w:p>
        </w:tc>
        <w:tc>
          <w:tcPr>
            <w:tcW w:w="1620" w:type="dxa"/>
            <w:vAlign w:val="bottom"/>
          </w:tcPr>
          <w:p w:rsidR="00466BA8" w:rsidRPr="00466BA8" w:rsidRDefault="00466BA8" w:rsidP="00466BA8">
            <w:pPr>
              <w:widowControl w:val="0"/>
              <w:rPr>
                <w:sz w:val="18"/>
                <w:szCs w:val="18"/>
              </w:rPr>
            </w:pPr>
            <w:r w:rsidRPr="00466BA8">
              <w:rPr>
                <w:sz w:val="18"/>
                <w:szCs w:val="18"/>
              </w:rPr>
              <w:t xml:space="preserve">     35</w:t>
            </w:r>
          </w:p>
        </w:tc>
        <w:tc>
          <w:tcPr>
            <w:tcW w:w="1440" w:type="dxa"/>
            <w:vAlign w:val="bottom"/>
          </w:tcPr>
          <w:p w:rsidR="00466BA8" w:rsidRPr="00466BA8" w:rsidRDefault="00466BA8" w:rsidP="00466BA8">
            <w:pPr>
              <w:widowControl w:val="0"/>
              <w:rPr>
                <w:sz w:val="18"/>
                <w:szCs w:val="18"/>
              </w:rPr>
            </w:pPr>
            <w:r w:rsidRPr="00466BA8">
              <w:rPr>
                <w:sz w:val="18"/>
                <w:szCs w:val="18"/>
              </w:rPr>
              <w:t xml:space="preserve">     21</w:t>
            </w:r>
          </w:p>
        </w:tc>
        <w:tc>
          <w:tcPr>
            <w:tcW w:w="1260" w:type="dxa"/>
            <w:vAlign w:val="bottom"/>
          </w:tcPr>
          <w:p w:rsidR="00466BA8" w:rsidRPr="00466BA8" w:rsidRDefault="00466BA8" w:rsidP="00466BA8">
            <w:pPr>
              <w:widowControl w:val="0"/>
              <w:rPr>
                <w:sz w:val="18"/>
                <w:szCs w:val="18"/>
              </w:rPr>
            </w:pPr>
            <w:r w:rsidRPr="00466BA8">
              <w:rPr>
                <w:sz w:val="18"/>
                <w:szCs w:val="18"/>
              </w:rPr>
              <w:t xml:space="preserve">  14</w:t>
            </w:r>
          </w:p>
        </w:tc>
        <w:tc>
          <w:tcPr>
            <w:tcW w:w="1440" w:type="dxa"/>
            <w:vAlign w:val="bottom"/>
          </w:tcPr>
          <w:p w:rsidR="00466BA8" w:rsidRPr="00466BA8" w:rsidRDefault="00466BA8" w:rsidP="00466BA8">
            <w:pPr>
              <w:widowControl w:val="0"/>
              <w:rPr>
                <w:sz w:val="18"/>
                <w:szCs w:val="18"/>
              </w:rPr>
            </w:pPr>
            <w:r w:rsidRPr="00466BA8">
              <w:rPr>
                <w:sz w:val="18"/>
                <w:szCs w:val="18"/>
              </w:rPr>
              <w:t>60.0%</w:t>
            </w:r>
          </w:p>
        </w:tc>
        <w:tc>
          <w:tcPr>
            <w:tcW w:w="1170" w:type="dxa"/>
            <w:vAlign w:val="bottom"/>
          </w:tcPr>
          <w:p w:rsidR="00466BA8" w:rsidRPr="00466BA8" w:rsidRDefault="00466BA8" w:rsidP="00466BA8">
            <w:pPr>
              <w:widowControl w:val="0"/>
              <w:rPr>
                <w:sz w:val="18"/>
                <w:szCs w:val="18"/>
              </w:rPr>
            </w:pPr>
            <w:r w:rsidRPr="00466BA8">
              <w:rPr>
                <w:sz w:val="18"/>
                <w:szCs w:val="18"/>
              </w:rPr>
              <w:t>40.0%</w:t>
            </w:r>
          </w:p>
        </w:tc>
        <w:tc>
          <w:tcPr>
            <w:tcW w:w="2730" w:type="dxa"/>
            <w:vAlign w:val="bottom"/>
          </w:tcPr>
          <w:p w:rsidR="00466BA8" w:rsidRPr="00466BA8" w:rsidRDefault="00466BA8" w:rsidP="00466BA8">
            <w:pPr>
              <w:widowControl w:val="0"/>
              <w:jc w:val="center"/>
              <w:rPr>
                <w:sz w:val="18"/>
                <w:szCs w:val="18"/>
              </w:rPr>
            </w:pPr>
          </w:p>
        </w:tc>
      </w:tr>
      <w:tr w:rsidR="00466BA8" w:rsidRPr="00466BA8" w:rsidTr="00466BA8">
        <w:tc>
          <w:tcPr>
            <w:tcW w:w="2250" w:type="dxa"/>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Surgical Critical Care</w:t>
            </w:r>
          </w:p>
        </w:tc>
        <w:tc>
          <w:tcPr>
            <w:tcW w:w="162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179</w:t>
            </w:r>
          </w:p>
        </w:tc>
        <w:tc>
          <w:tcPr>
            <w:tcW w:w="144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154</w:t>
            </w:r>
          </w:p>
        </w:tc>
        <w:tc>
          <w:tcPr>
            <w:tcW w:w="126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25</w:t>
            </w:r>
          </w:p>
        </w:tc>
        <w:tc>
          <w:tcPr>
            <w:tcW w:w="144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86.0%</w:t>
            </w:r>
          </w:p>
        </w:tc>
        <w:tc>
          <w:tcPr>
            <w:tcW w:w="117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14.0%</w:t>
            </w:r>
          </w:p>
        </w:tc>
        <w:tc>
          <w:tcPr>
            <w:tcW w:w="273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3,114</w:t>
            </w:r>
          </w:p>
        </w:tc>
      </w:tr>
      <w:tr w:rsidR="00466BA8" w:rsidRPr="00466BA8" w:rsidTr="00466BA8">
        <w:tc>
          <w:tcPr>
            <w:tcW w:w="2250" w:type="dxa"/>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smartTag w:uri="urn:schemas-microsoft-com:office:smarttags" w:element="stockticker">
              <w:r w:rsidRPr="00466BA8">
                <w:rPr>
                  <w:sz w:val="18"/>
                  <w:szCs w:val="18"/>
                </w:rPr>
                <w:t>SCC</w:t>
              </w:r>
            </w:smartTag>
            <w:r w:rsidRPr="00466BA8">
              <w:rPr>
                <w:sz w:val="18"/>
                <w:szCs w:val="18"/>
              </w:rPr>
              <w:t xml:space="preserve"> Recertification</w:t>
            </w:r>
          </w:p>
        </w:tc>
        <w:tc>
          <w:tcPr>
            <w:tcW w:w="162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173</w:t>
            </w:r>
          </w:p>
        </w:tc>
        <w:tc>
          <w:tcPr>
            <w:tcW w:w="144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169</w:t>
            </w:r>
          </w:p>
        </w:tc>
        <w:tc>
          <w:tcPr>
            <w:tcW w:w="126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4</w:t>
            </w:r>
          </w:p>
        </w:tc>
        <w:tc>
          <w:tcPr>
            <w:tcW w:w="144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97.7%</w:t>
            </w:r>
          </w:p>
        </w:tc>
        <w:tc>
          <w:tcPr>
            <w:tcW w:w="117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2.3%</w:t>
            </w:r>
          </w:p>
        </w:tc>
        <w:tc>
          <w:tcPr>
            <w:tcW w:w="273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1,478</w:t>
            </w:r>
          </w:p>
        </w:tc>
      </w:tr>
      <w:tr w:rsidR="00466BA8" w:rsidRPr="00466BA8" w:rsidTr="00466BA8">
        <w:tc>
          <w:tcPr>
            <w:tcW w:w="2250" w:type="dxa"/>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Pediatric Surgery QE</w:t>
            </w:r>
          </w:p>
        </w:tc>
        <w:tc>
          <w:tcPr>
            <w:tcW w:w="162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37</w:t>
            </w:r>
          </w:p>
        </w:tc>
        <w:tc>
          <w:tcPr>
            <w:tcW w:w="144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34</w:t>
            </w:r>
          </w:p>
        </w:tc>
        <w:tc>
          <w:tcPr>
            <w:tcW w:w="126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3</w:t>
            </w:r>
          </w:p>
        </w:tc>
        <w:tc>
          <w:tcPr>
            <w:tcW w:w="144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91.9%</w:t>
            </w:r>
          </w:p>
        </w:tc>
        <w:tc>
          <w:tcPr>
            <w:tcW w:w="117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8.1%</w:t>
            </w:r>
          </w:p>
        </w:tc>
        <w:tc>
          <w:tcPr>
            <w:tcW w:w="2730" w:type="dxa"/>
            <w:vAlign w:val="bottom"/>
          </w:tcPr>
          <w:p w:rsidR="00466BA8" w:rsidRPr="00466BA8" w:rsidRDefault="00466BA8" w:rsidP="00466BA8">
            <w:pPr>
              <w:widowControl w:val="0"/>
              <w:jc w:val="center"/>
              <w:rPr>
                <w:sz w:val="18"/>
                <w:szCs w:val="18"/>
              </w:rPr>
            </w:pPr>
          </w:p>
        </w:tc>
      </w:tr>
      <w:tr w:rsidR="00466BA8" w:rsidRPr="00466BA8" w:rsidTr="00466BA8">
        <w:tc>
          <w:tcPr>
            <w:tcW w:w="2250" w:type="dxa"/>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Pediatric Surgery Rct.</w:t>
            </w:r>
          </w:p>
        </w:tc>
        <w:tc>
          <w:tcPr>
            <w:tcW w:w="1620" w:type="dxa"/>
            <w:vAlign w:val="bottom"/>
          </w:tcPr>
          <w:p w:rsidR="00466BA8" w:rsidRPr="00466BA8" w:rsidRDefault="00466BA8" w:rsidP="00466BA8">
            <w:pPr>
              <w:widowControl w:val="0"/>
              <w:rPr>
                <w:sz w:val="18"/>
                <w:szCs w:val="18"/>
              </w:rPr>
            </w:pPr>
            <w:r w:rsidRPr="00466BA8">
              <w:rPr>
                <w:sz w:val="18"/>
                <w:szCs w:val="18"/>
              </w:rPr>
              <w:t xml:space="preserve">     51</w:t>
            </w:r>
          </w:p>
        </w:tc>
        <w:tc>
          <w:tcPr>
            <w:tcW w:w="1440" w:type="dxa"/>
            <w:vAlign w:val="bottom"/>
          </w:tcPr>
          <w:p w:rsidR="00466BA8" w:rsidRPr="00466BA8" w:rsidRDefault="00466BA8" w:rsidP="00466BA8">
            <w:pPr>
              <w:widowControl w:val="0"/>
              <w:rPr>
                <w:sz w:val="18"/>
                <w:szCs w:val="18"/>
              </w:rPr>
            </w:pPr>
            <w:r w:rsidRPr="00466BA8">
              <w:rPr>
                <w:sz w:val="18"/>
                <w:szCs w:val="18"/>
              </w:rPr>
              <w:t xml:space="preserve">     49</w:t>
            </w:r>
          </w:p>
        </w:tc>
        <w:tc>
          <w:tcPr>
            <w:tcW w:w="1260" w:type="dxa"/>
            <w:vAlign w:val="bottom"/>
          </w:tcPr>
          <w:p w:rsidR="00466BA8" w:rsidRPr="00466BA8" w:rsidRDefault="00466BA8" w:rsidP="00466BA8">
            <w:pPr>
              <w:widowControl w:val="0"/>
              <w:rPr>
                <w:sz w:val="18"/>
                <w:szCs w:val="18"/>
              </w:rPr>
            </w:pPr>
            <w:r w:rsidRPr="00466BA8">
              <w:rPr>
                <w:sz w:val="18"/>
                <w:szCs w:val="18"/>
              </w:rPr>
              <w:t xml:space="preserve">    2</w:t>
            </w:r>
          </w:p>
        </w:tc>
        <w:tc>
          <w:tcPr>
            <w:tcW w:w="1440" w:type="dxa"/>
            <w:vAlign w:val="bottom"/>
          </w:tcPr>
          <w:p w:rsidR="00466BA8" w:rsidRPr="00466BA8" w:rsidRDefault="00466BA8" w:rsidP="00466BA8">
            <w:pPr>
              <w:widowControl w:val="0"/>
              <w:rPr>
                <w:sz w:val="18"/>
                <w:szCs w:val="18"/>
              </w:rPr>
            </w:pPr>
            <w:r w:rsidRPr="00466BA8">
              <w:rPr>
                <w:sz w:val="18"/>
                <w:szCs w:val="18"/>
              </w:rPr>
              <w:t>96.1%</w:t>
            </w:r>
          </w:p>
        </w:tc>
        <w:tc>
          <w:tcPr>
            <w:tcW w:w="1170" w:type="dxa"/>
            <w:vAlign w:val="bottom"/>
          </w:tcPr>
          <w:p w:rsidR="00466BA8" w:rsidRPr="00466BA8" w:rsidRDefault="00466BA8" w:rsidP="00466BA8">
            <w:pPr>
              <w:widowControl w:val="0"/>
              <w:rPr>
                <w:sz w:val="18"/>
                <w:szCs w:val="18"/>
              </w:rPr>
            </w:pPr>
            <w:r w:rsidRPr="00466BA8">
              <w:rPr>
                <w:sz w:val="18"/>
                <w:szCs w:val="18"/>
              </w:rPr>
              <w:t xml:space="preserve">  3.9%</w:t>
            </w:r>
          </w:p>
        </w:tc>
        <w:tc>
          <w:tcPr>
            <w:tcW w:w="2730" w:type="dxa"/>
            <w:vAlign w:val="bottom"/>
          </w:tcPr>
          <w:p w:rsidR="00466BA8" w:rsidRPr="00466BA8" w:rsidRDefault="00466BA8" w:rsidP="00466BA8">
            <w:pPr>
              <w:widowControl w:val="0"/>
              <w:rPr>
                <w:sz w:val="18"/>
                <w:szCs w:val="18"/>
              </w:rPr>
            </w:pPr>
            <w:r w:rsidRPr="00466BA8">
              <w:rPr>
                <w:sz w:val="18"/>
                <w:szCs w:val="18"/>
              </w:rPr>
              <w:t xml:space="preserve">     793</w:t>
            </w:r>
          </w:p>
        </w:tc>
      </w:tr>
      <w:tr w:rsidR="00466BA8" w:rsidRPr="00466BA8" w:rsidTr="00466BA8">
        <w:tc>
          <w:tcPr>
            <w:tcW w:w="2250" w:type="dxa"/>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Hand Surgery</w:t>
            </w:r>
          </w:p>
        </w:tc>
        <w:tc>
          <w:tcPr>
            <w:tcW w:w="1620" w:type="dxa"/>
            <w:vAlign w:val="bottom"/>
          </w:tcPr>
          <w:p w:rsidR="00466BA8" w:rsidRPr="00466BA8" w:rsidRDefault="00466BA8" w:rsidP="00466BA8">
            <w:pPr>
              <w:widowControl w:val="0"/>
              <w:rPr>
                <w:sz w:val="18"/>
                <w:szCs w:val="18"/>
              </w:rPr>
            </w:pPr>
            <w:r w:rsidRPr="00466BA8">
              <w:rPr>
                <w:sz w:val="18"/>
                <w:szCs w:val="18"/>
              </w:rPr>
              <w:t xml:space="preserve">     18</w:t>
            </w:r>
          </w:p>
        </w:tc>
        <w:tc>
          <w:tcPr>
            <w:tcW w:w="1440" w:type="dxa"/>
            <w:vAlign w:val="bottom"/>
          </w:tcPr>
          <w:p w:rsidR="00466BA8" w:rsidRPr="00466BA8" w:rsidRDefault="00466BA8" w:rsidP="00466BA8">
            <w:pPr>
              <w:widowControl w:val="0"/>
              <w:rPr>
                <w:sz w:val="18"/>
                <w:szCs w:val="18"/>
              </w:rPr>
            </w:pPr>
            <w:r w:rsidRPr="00466BA8">
              <w:rPr>
                <w:sz w:val="18"/>
                <w:szCs w:val="18"/>
              </w:rPr>
              <w:t xml:space="preserve">     12</w:t>
            </w:r>
          </w:p>
        </w:tc>
        <w:tc>
          <w:tcPr>
            <w:tcW w:w="1260" w:type="dxa"/>
            <w:vAlign w:val="bottom"/>
          </w:tcPr>
          <w:p w:rsidR="00466BA8" w:rsidRPr="00466BA8" w:rsidRDefault="00466BA8" w:rsidP="00466BA8">
            <w:pPr>
              <w:widowControl w:val="0"/>
              <w:rPr>
                <w:sz w:val="18"/>
                <w:szCs w:val="18"/>
              </w:rPr>
            </w:pPr>
            <w:r w:rsidRPr="00466BA8">
              <w:rPr>
                <w:sz w:val="18"/>
                <w:szCs w:val="18"/>
              </w:rPr>
              <w:t xml:space="preserve">    6</w:t>
            </w:r>
          </w:p>
        </w:tc>
        <w:tc>
          <w:tcPr>
            <w:tcW w:w="1440" w:type="dxa"/>
            <w:vAlign w:val="bottom"/>
          </w:tcPr>
          <w:p w:rsidR="00466BA8" w:rsidRPr="00466BA8" w:rsidRDefault="00466BA8" w:rsidP="00466BA8">
            <w:pPr>
              <w:widowControl w:val="0"/>
              <w:rPr>
                <w:sz w:val="18"/>
                <w:szCs w:val="18"/>
              </w:rPr>
            </w:pPr>
            <w:r w:rsidRPr="00466BA8">
              <w:rPr>
                <w:sz w:val="18"/>
                <w:szCs w:val="18"/>
              </w:rPr>
              <w:t>66.7%</w:t>
            </w:r>
          </w:p>
        </w:tc>
        <w:tc>
          <w:tcPr>
            <w:tcW w:w="1170" w:type="dxa"/>
            <w:vAlign w:val="bottom"/>
          </w:tcPr>
          <w:p w:rsidR="00466BA8" w:rsidRPr="00466BA8" w:rsidRDefault="00466BA8" w:rsidP="00466BA8">
            <w:pPr>
              <w:widowControl w:val="0"/>
              <w:rPr>
                <w:sz w:val="18"/>
                <w:szCs w:val="18"/>
              </w:rPr>
            </w:pPr>
            <w:r w:rsidRPr="00466BA8">
              <w:rPr>
                <w:sz w:val="18"/>
                <w:szCs w:val="18"/>
              </w:rPr>
              <w:t>33.3%</w:t>
            </w:r>
          </w:p>
        </w:tc>
        <w:tc>
          <w:tcPr>
            <w:tcW w:w="2730" w:type="dxa"/>
            <w:vAlign w:val="bottom"/>
          </w:tcPr>
          <w:p w:rsidR="00466BA8" w:rsidRPr="00466BA8" w:rsidRDefault="00466BA8" w:rsidP="00466BA8">
            <w:pPr>
              <w:widowControl w:val="0"/>
              <w:rPr>
                <w:sz w:val="18"/>
                <w:szCs w:val="18"/>
              </w:rPr>
            </w:pPr>
            <w:r w:rsidRPr="00466BA8">
              <w:rPr>
                <w:sz w:val="18"/>
                <w:szCs w:val="18"/>
              </w:rPr>
              <w:t xml:space="preserve">     279</w:t>
            </w:r>
          </w:p>
        </w:tc>
      </w:tr>
      <w:tr w:rsidR="00466BA8" w:rsidRPr="00466BA8" w:rsidTr="00466BA8">
        <w:tc>
          <w:tcPr>
            <w:tcW w:w="2250" w:type="dxa"/>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Hand Surgery Recert.</w:t>
            </w:r>
          </w:p>
        </w:tc>
        <w:tc>
          <w:tcPr>
            <w:tcW w:w="162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14</w:t>
            </w:r>
          </w:p>
        </w:tc>
        <w:tc>
          <w:tcPr>
            <w:tcW w:w="144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14</w:t>
            </w:r>
          </w:p>
        </w:tc>
        <w:tc>
          <w:tcPr>
            <w:tcW w:w="126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0</w:t>
            </w:r>
          </w:p>
        </w:tc>
        <w:tc>
          <w:tcPr>
            <w:tcW w:w="144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100.0%</w:t>
            </w:r>
          </w:p>
        </w:tc>
        <w:tc>
          <w:tcPr>
            <w:tcW w:w="117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0%</w:t>
            </w:r>
          </w:p>
        </w:tc>
        <w:tc>
          <w:tcPr>
            <w:tcW w:w="2730" w:type="dxa"/>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153</w:t>
            </w:r>
          </w:p>
        </w:tc>
      </w:tr>
      <w:tr w:rsidR="00466BA8" w:rsidRPr="00466BA8" w:rsidTr="00466BA8">
        <w:tc>
          <w:tcPr>
            <w:tcW w:w="2250" w:type="dxa"/>
            <w:shd w:val="clear" w:color="auto" w:fill="auto"/>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Hospice &amp; Palliative Care*</w:t>
            </w:r>
          </w:p>
        </w:tc>
        <w:tc>
          <w:tcPr>
            <w:tcW w:w="162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44</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36</w:t>
            </w:r>
          </w:p>
        </w:tc>
        <w:tc>
          <w:tcPr>
            <w:tcW w:w="126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8</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81.8%</w:t>
            </w:r>
          </w:p>
        </w:tc>
        <w:tc>
          <w:tcPr>
            <w:tcW w:w="117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18.2%</w:t>
            </w:r>
          </w:p>
        </w:tc>
        <w:tc>
          <w:tcPr>
            <w:tcW w:w="273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62</w:t>
            </w:r>
          </w:p>
        </w:tc>
      </w:tr>
      <w:tr w:rsidR="00466BA8" w:rsidRPr="00466BA8" w:rsidTr="00466BA8">
        <w:tc>
          <w:tcPr>
            <w:tcW w:w="2250" w:type="dxa"/>
            <w:shd w:val="clear" w:color="auto" w:fill="auto"/>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Vascular Surgery ITE</w:t>
            </w:r>
          </w:p>
        </w:tc>
        <w:tc>
          <w:tcPr>
            <w:tcW w:w="162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407</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w:t>
            </w:r>
          </w:p>
        </w:tc>
        <w:tc>
          <w:tcPr>
            <w:tcW w:w="126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N.A.</w:t>
            </w:r>
          </w:p>
        </w:tc>
        <w:tc>
          <w:tcPr>
            <w:tcW w:w="117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N.A.</w:t>
            </w:r>
          </w:p>
        </w:tc>
        <w:tc>
          <w:tcPr>
            <w:tcW w:w="2730" w:type="dxa"/>
            <w:shd w:val="clear" w:color="auto" w:fill="auto"/>
            <w:vAlign w:val="bottom"/>
          </w:tcPr>
          <w:p w:rsidR="00466BA8" w:rsidRPr="00466BA8" w:rsidRDefault="00466BA8" w:rsidP="00466BA8">
            <w:pPr>
              <w:widowControl w:val="0"/>
              <w:jc w:val="center"/>
              <w:rPr>
                <w:sz w:val="18"/>
                <w:szCs w:val="18"/>
              </w:rPr>
            </w:pPr>
          </w:p>
        </w:tc>
      </w:tr>
      <w:tr w:rsidR="00466BA8" w:rsidRPr="00466BA8" w:rsidTr="00466BA8">
        <w:tc>
          <w:tcPr>
            <w:tcW w:w="2250" w:type="dxa"/>
            <w:shd w:val="clear" w:color="auto" w:fill="auto"/>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Pediatric Surgery ITE</w:t>
            </w:r>
          </w:p>
        </w:tc>
        <w:tc>
          <w:tcPr>
            <w:tcW w:w="162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109</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w:t>
            </w:r>
          </w:p>
        </w:tc>
        <w:tc>
          <w:tcPr>
            <w:tcW w:w="126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N.A.</w:t>
            </w:r>
          </w:p>
        </w:tc>
        <w:tc>
          <w:tcPr>
            <w:tcW w:w="117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N.A.</w:t>
            </w:r>
          </w:p>
        </w:tc>
        <w:tc>
          <w:tcPr>
            <w:tcW w:w="2730" w:type="dxa"/>
            <w:shd w:val="clear" w:color="auto" w:fill="auto"/>
            <w:vAlign w:val="bottom"/>
          </w:tcPr>
          <w:p w:rsidR="00466BA8" w:rsidRPr="00466BA8" w:rsidRDefault="00466BA8" w:rsidP="00466BA8">
            <w:pPr>
              <w:widowControl w:val="0"/>
              <w:jc w:val="center"/>
              <w:rPr>
                <w:sz w:val="18"/>
                <w:szCs w:val="18"/>
              </w:rPr>
            </w:pPr>
          </w:p>
        </w:tc>
      </w:tr>
      <w:tr w:rsidR="00466BA8" w:rsidRPr="00466BA8" w:rsidTr="00466BA8">
        <w:tc>
          <w:tcPr>
            <w:tcW w:w="2250" w:type="dxa"/>
            <w:shd w:val="clear" w:color="auto" w:fill="auto"/>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 xml:space="preserve">ITE – Junior Level </w:t>
            </w:r>
          </w:p>
        </w:tc>
        <w:tc>
          <w:tcPr>
            <w:tcW w:w="162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4,154</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w:t>
            </w:r>
          </w:p>
        </w:tc>
        <w:tc>
          <w:tcPr>
            <w:tcW w:w="126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N.A.</w:t>
            </w:r>
          </w:p>
        </w:tc>
        <w:tc>
          <w:tcPr>
            <w:tcW w:w="117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N.A.</w:t>
            </w:r>
          </w:p>
        </w:tc>
        <w:tc>
          <w:tcPr>
            <w:tcW w:w="2730" w:type="dxa"/>
            <w:shd w:val="clear" w:color="auto" w:fill="auto"/>
            <w:vAlign w:val="bottom"/>
          </w:tcPr>
          <w:p w:rsidR="00466BA8" w:rsidRPr="00466BA8" w:rsidRDefault="00466BA8" w:rsidP="00466BA8">
            <w:pPr>
              <w:widowControl w:val="0"/>
              <w:jc w:val="center"/>
              <w:rPr>
                <w:sz w:val="18"/>
                <w:szCs w:val="18"/>
              </w:rPr>
            </w:pPr>
          </w:p>
        </w:tc>
      </w:tr>
      <w:tr w:rsidR="00466BA8" w:rsidRPr="00466BA8" w:rsidTr="00466BA8">
        <w:tc>
          <w:tcPr>
            <w:tcW w:w="2250" w:type="dxa"/>
            <w:shd w:val="clear" w:color="auto" w:fill="auto"/>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 xml:space="preserve">ITE – Senior Level </w:t>
            </w:r>
          </w:p>
        </w:tc>
        <w:tc>
          <w:tcPr>
            <w:tcW w:w="162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4,018</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w:t>
            </w:r>
          </w:p>
        </w:tc>
        <w:tc>
          <w:tcPr>
            <w:tcW w:w="126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N.A.</w:t>
            </w:r>
          </w:p>
        </w:tc>
        <w:tc>
          <w:tcPr>
            <w:tcW w:w="117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N.A.</w:t>
            </w:r>
          </w:p>
        </w:tc>
        <w:tc>
          <w:tcPr>
            <w:tcW w:w="2730" w:type="dxa"/>
            <w:shd w:val="clear" w:color="auto" w:fill="auto"/>
            <w:vAlign w:val="bottom"/>
          </w:tcPr>
          <w:p w:rsidR="00466BA8" w:rsidRPr="00466BA8" w:rsidRDefault="00466BA8" w:rsidP="00466BA8">
            <w:pPr>
              <w:widowControl w:val="0"/>
              <w:jc w:val="center"/>
              <w:rPr>
                <w:sz w:val="18"/>
                <w:szCs w:val="18"/>
              </w:rPr>
            </w:pPr>
          </w:p>
        </w:tc>
      </w:tr>
      <w:tr w:rsidR="00466BA8" w:rsidRPr="00466BA8" w:rsidTr="00466BA8">
        <w:tc>
          <w:tcPr>
            <w:tcW w:w="2250" w:type="dxa"/>
            <w:shd w:val="clear" w:color="auto" w:fill="auto"/>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ITE – International</w:t>
            </w:r>
          </w:p>
        </w:tc>
        <w:tc>
          <w:tcPr>
            <w:tcW w:w="162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274</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w:t>
            </w:r>
          </w:p>
        </w:tc>
        <w:tc>
          <w:tcPr>
            <w:tcW w:w="126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N.A.</w:t>
            </w:r>
          </w:p>
        </w:tc>
        <w:tc>
          <w:tcPr>
            <w:tcW w:w="117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N.A.</w:t>
            </w:r>
          </w:p>
        </w:tc>
        <w:tc>
          <w:tcPr>
            <w:tcW w:w="2730" w:type="dxa"/>
            <w:shd w:val="clear" w:color="auto" w:fill="auto"/>
            <w:vAlign w:val="bottom"/>
          </w:tcPr>
          <w:p w:rsidR="00466BA8" w:rsidRPr="00466BA8" w:rsidRDefault="00466BA8" w:rsidP="00466BA8">
            <w:pPr>
              <w:widowControl w:val="0"/>
              <w:jc w:val="center"/>
              <w:rPr>
                <w:sz w:val="18"/>
                <w:szCs w:val="18"/>
              </w:rPr>
            </w:pPr>
          </w:p>
        </w:tc>
      </w:tr>
      <w:tr w:rsidR="00466BA8" w:rsidRPr="00466BA8" w:rsidTr="00466BA8">
        <w:tc>
          <w:tcPr>
            <w:tcW w:w="2250" w:type="dxa"/>
            <w:shd w:val="clear" w:color="auto" w:fill="auto"/>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ITE – D.O.</w:t>
            </w:r>
          </w:p>
        </w:tc>
        <w:tc>
          <w:tcPr>
            <w:tcW w:w="162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132</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w:t>
            </w:r>
          </w:p>
        </w:tc>
        <w:tc>
          <w:tcPr>
            <w:tcW w:w="126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N.A.</w:t>
            </w:r>
          </w:p>
        </w:tc>
        <w:tc>
          <w:tcPr>
            <w:tcW w:w="117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N.A.</w:t>
            </w:r>
          </w:p>
        </w:tc>
        <w:tc>
          <w:tcPr>
            <w:tcW w:w="2730" w:type="dxa"/>
            <w:shd w:val="clear" w:color="auto" w:fill="auto"/>
            <w:vAlign w:val="bottom"/>
          </w:tcPr>
          <w:p w:rsidR="00466BA8" w:rsidRPr="00466BA8" w:rsidRDefault="00466BA8" w:rsidP="00466BA8">
            <w:pPr>
              <w:widowControl w:val="0"/>
              <w:jc w:val="center"/>
              <w:rPr>
                <w:sz w:val="18"/>
                <w:szCs w:val="18"/>
              </w:rPr>
            </w:pPr>
          </w:p>
        </w:tc>
      </w:tr>
      <w:tr w:rsidR="00466BA8" w:rsidRPr="00466BA8" w:rsidTr="00466BA8">
        <w:tc>
          <w:tcPr>
            <w:tcW w:w="2250" w:type="dxa"/>
            <w:shd w:val="clear" w:color="auto" w:fill="auto"/>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Certifying*</w:t>
            </w:r>
          </w:p>
        </w:tc>
        <w:tc>
          <w:tcPr>
            <w:tcW w:w="162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1,396</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1,115</w:t>
            </w:r>
          </w:p>
        </w:tc>
        <w:tc>
          <w:tcPr>
            <w:tcW w:w="126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281</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79.9%</w:t>
            </w:r>
          </w:p>
        </w:tc>
        <w:tc>
          <w:tcPr>
            <w:tcW w:w="117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20.1%</w:t>
            </w:r>
          </w:p>
        </w:tc>
        <w:tc>
          <w:tcPr>
            <w:tcW w:w="273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59,548</w:t>
            </w:r>
          </w:p>
        </w:tc>
      </w:tr>
      <w:tr w:rsidR="00466BA8" w:rsidRPr="00466BA8" w:rsidTr="00466BA8">
        <w:tc>
          <w:tcPr>
            <w:tcW w:w="2250" w:type="dxa"/>
            <w:shd w:val="clear" w:color="auto" w:fill="auto"/>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Vascular Surgery CE</w:t>
            </w:r>
          </w:p>
        </w:tc>
        <w:tc>
          <w:tcPr>
            <w:tcW w:w="162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132</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106</w:t>
            </w:r>
          </w:p>
        </w:tc>
        <w:tc>
          <w:tcPr>
            <w:tcW w:w="126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26</w:t>
            </w:r>
          </w:p>
        </w:tc>
        <w:tc>
          <w:tcPr>
            <w:tcW w:w="144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79.5%</w:t>
            </w:r>
          </w:p>
        </w:tc>
        <w:tc>
          <w:tcPr>
            <w:tcW w:w="117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20.5%</w:t>
            </w:r>
          </w:p>
        </w:tc>
        <w:tc>
          <w:tcPr>
            <w:tcW w:w="2730" w:type="dxa"/>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3,345</w:t>
            </w:r>
          </w:p>
        </w:tc>
      </w:tr>
      <w:tr w:rsidR="00466BA8" w:rsidRPr="00466BA8" w:rsidTr="00466BA8">
        <w:tc>
          <w:tcPr>
            <w:tcW w:w="2250" w:type="dxa"/>
            <w:tcBorders>
              <w:bottom w:val="single" w:sz="4" w:space="0" w:color="auto"/>
            </w:tcBorders>
            <w:shd w:val="clear" w:color="auto" w:fill="auto"/>
            <w:vAlign w:val="center"/>
          </w:tcPr>
          <w:p w:rsidR="00466BA8" w:rsidRPr="00466BA8" w:rsidRDefault="00466BA8" w:rsidP="00466BA8">
            <w:pPr>
              <w:widowControl w:val="0"/>
              <w:rPr>
                <w:sz w:val="18"/>
                <w:szCs w:val="18"/>
              </w:rPr>
            </w:pPr>
          </w:p>
          <w:p w:rsidR="00466BA8" w:rsidRPr="00466BA8" w:rsidRDefault="00466BA8" w:rsidP="00466BA8">
            <w:pPr>
              <w:widowControl w:val="0"/>
              <w:rPr>
                <w:sz w:val="18"/>
                <w:szCs w:val="18"/>
              </w:rPr>
            </w:pPr>
            <w:r w:rsidRPr="00466BA8">
              <w:rPr>
                <w:sz w:val="18"/>
                <w:szCs w:val="18"/>
              </w:rPr>
              <w:t>Pediatric Surgery CE</w:t>
            </w:r>
          </w:p>
        </w:tc>
        <w:tc>
          <w:tcPr>
            <w:tcW w:w="1620" w:type="dxa"/>
            <w:tcBorders>
              <w:bottom w:val="single" w:sz="4" w:space="0" w:color="auto"/>
            </w:tcBorders>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39</w:t>
            </w:r>
          </w:p>
        </w:tc>
        <w:tc>
          <w:tcPr>
            <w:tcW w:w="1440" w:type="dxa"/>
            <w:tcBorders>
              <w:bottom w:val="single" w:sz="4" w:space="0" w:color="auto"/>
            </w:tcBorders>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34</w:t>
            </w:r>
          </w:p>
        </w:tc>
        <w:tc>
          <w:tcPr>
            <w:tcW w:w="1260" w:type="dxa"/>
            <w:tcBorders>
              <w:bottom w:val="single" w:sz="4" w:space="0" w:color="auto"/>
            </w:tcBorders>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5</w:t>
            </w:r>
          </w:p>
        </w:tc>
        <w:tc>
          <w:tcPr>
            <w:tcW w:w="1440" w:type="dxa"/>
            <w:tcBorders>
              <w:bottom w:val="single" w:sz="4" w:space="0" w:color="auto"/>
            </w:tcBorders>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87.2%</w:t>
            </w:r>
          </w:p>
        </w:tc>
        <w:tc>
          <w:tcPr>
            <w:tcW w:w="1170" w:type="dxa"/>
            <w:tcBorders>
              <w:bottom w:val="single" w:sz="4" w:space="0" w:color="auto"/>
            </w:tcBorders>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12.8%</w:t>
            </w:r>
          </w:p>
        </w:tc>
        <w:tc>
          <w:tcPr>
            <w:tcW w:w="2730" w:type="dxa"/>
            <w:tcBorders>
              <w:bottom w:val="single" w:sz="4" w:space="0" w:color="auto"/>
            </w:tcBorders>
            <w:shd w:val="clear" w:color="auto" w:fill="auto"/>
            <w:vAlign w:val="bottom"/>
          </w:tcPr>
          <w:p w:rsidR="00466BA8" w:rsidRPr="00466BA8" w:rsidRDefault="00466BA8" w:rsidP="00466BA8">
            <w:pPr>
              <w:widowControl w:val="0"/>
              <w:jc w:val="center"/>
              <w:rPr>
                <w:sz w:val="18"/>
                <w:szCs w:val="18"/>
              </w:rPr>
            </w:pPr>
          </w:p>
          <w:p w:rsidR="00466BA8" w:rsidRPr="00466BA8" w:rsidRDefault="00466BA8" w:rsidP="00466BA8">
            <w:pPr>
              <w:widowControl w:val="0"/>
              <w:rPr>
                <w:sz w:val="18"/>
                <w:szCs w:val="18"/>
              </w:rPr>
            </w:pPr>
            <w:r w:rsidRPr="00466BA8">
              <w:rPr>
                <w:sz w:val="18"/>
                <w:szCs w:val="18"/>
              </w:rPr>
              <w:t xml:space="preserve">  1,233</w:t>
            </w:r>
          </w:p>
        </w:tc>
      </w:tr>
      <w:tr w:rsidR="00466BA8" w:rsidRPr="00466BA8" w:rsidTr="00466BA8">
        <w:tc>
          <w:tcPr>
            <w:tcW w:w="2250" w:type="dxa"/>
            <w:tcBorders>
              <w:top w:val="single" w:sz="4" w:space="0" w:color="auto"/>
            </w:tcBorders>
          </w:tcPr>
          <w:p w:rsidR="00466BA8" w:rsidRPr="00466BA8" w:rsidRDefault="00466BA8" w:rsidP="00466BA8">
            <w:pPr>
              <w:widowControl w:val="0"/>
              <w:jc w:val="both"/>
              <w:rPr>
                <w:b/>
                <w:sz w:val="18"/>
                <w:szCs w:val="18"/>
              </w:rPr>
            </w:pPr>
          </w:p>
          <w:p w:rsidR="00466BA8" w:rsidRPr="00466BA8" w:rsidRDefault="00466BA8" w:rsidP="00466BA8">
            <w:pPr>
              <w:widowControl w:val="0"/>
              <w:jc w:val="both"/>
              <w:rPr>
                <w:b/>
                <w:sz w:val="18"/>
                <w:szCs w:val="18"/>
              </w:rPr>
            </w:pPr>
            <w:r w:rsidRPr="00466BA8">
              <w:rPr>
                <w:b/>
                <w:sz w:val="18"/>
                <w:szCs w:val="18"/>
              </w:rPr>
              <w:t>TOTAL</w:t>
            </w:r>
          </w:p>
        </w:tc>
        <w:tc>
          <w:tcPr>
            <w:tcW w:w="1620" w:type="dxa"/>
            <w:tcBorders>
              <w:top w:val="single" w:sz="4" w:space="0" w:color="auto"/>
            </w:tcBorders>
            <w:vAlign w:val="bottom"/>
          </w:tcPr>
          <w:p w:rsidR="00466BA8" w:rsidRPr="00466BA8" w:rsidRDefault="00466BA8" w:rsidP="00466BA8">
            <w:pPr>
              <w:widowControl w:val="0"/>
              <w:jc w:val="center"/>
              <w:rPr>
                <w:b/>
                <w:sz w:val="18"/>
                <w:szCs w:val="18"/>
              </w:rPr>
            </w:pPr>
          </w:p>
          <w:p w:rsidR="00466BA8" w:rsidRPr="00466BA8" w:rsidRDefault="00466BA8" w:rsidP="00466BA8">
            <w:pPr>
              <w:widowControl w:val="0"/>
              <w:rPr>
                <w:b/>
                <w:sz w:val="18"/>
                <w:szCs w:val="18"/>
              </w:rPr>
            </w:pPr>
            <w:r w:rsidRPr="00466BA8">
              <w:rPr>
                <w:b/>
                <w:sz w:val="18"/>
                <w:szCs w:val="18"/>
              </w:rPr>
              <w:t>14,732</w:t>
            </w:r>
          </w:p>
        </w:tc>
        <w:tc>
          <w:tcPr>
            <w:tcW w:w="1440" w:type="dxa"/>
            <w:tcBorders>
              <w:top w:val="single" w:sz="4" w:space="0" w:color="auto"/>
            </w:tcBorders>
            <w:vAlign w:val="bottom"/>
          </w:tcPr>
          <w:p w:rsidR="00466BA8" w:rsidRPr="00466BA8" w:rsidRDefault="00466BA8" w:rsidP="00466BA8">
            <w:pPr>
              <w:widowControl w:val="0"/>
              <w:jc w:val="center"/>
              <w:rPr>
                <w:b/>
                <w:sz w:val="18"/>
                <w:szCs w:val="18"/>
              </w:rPr>
            </w:pPr>
          </w:p>
        </w:tc>
        <w:tc>
          <w:tcPr>
            <w:tcW w:w="1260" w:type="dxa"/>
            <w:tcBorders>
              <w:top w:val="single" w:sz="4" w:space="0" w:color="auto"/>
            </w:tcBorders>
            <w:vAlign w:val="bottom"/>
          </w:tcPr>
          <w:p w:rsidR="00466BA8" w:rsidRPr="00466BA8" w:rsidRDefault="00466BA8" w:rsidP="00466BA8">
            <w:pPr>
              <w:widowControl w:val="0"/>
              <w:jc w:val="center"/>
              <w:rPr>
                <w:b/>
                <w:sz w:val="18"/>
                <w:szCs w:val="18"/>
              </w:rPr>
            </w:pPr>
          </w:p>
        </w:tc>
        <w:tc>
          <w:tcPr>
            <w:tcW w:w="1440" w:type="dxa"/>
            <w:tcBorders>
              <w:top w:val="single" w:sz="4" w:space="0" w:color="auto"/>
            </w:tcBorders>
            <w:vAlign w:val="bottom"/>
          </w:tcPr>
          <w:p w:rsidR="00466BA8" w:rsidRPr="00466BA8" w:rsidRDefault="00466BA8" w:rsidP="00466BA8">
            <w:pPr>
              <w:widowControl w:val="0"/>
              <w:jc w:val="center"/>
              <w:rPr>
                <w:b/>
                <w:sz w:val="18"/>
                <w:szCs w:val="18"/>
              </w:rPr>
            </w:pPr>
          </w:p>
          <w:p w:rsidR="00466BA8" w:rsidRPr="00466BA8" w:rsidRDefault="00466BA8" w:rsidP="00466BA8">
            <w:pPr>
              <w:widowControl w:val="0"/>
              <w:jc w:val="center"/>
              <w:rPr>
                <w:b/>
                <w:sz w:val="18"/>
                <w:szCs w:val="18"/>
              </w:rPr>
            </w:pPr>
          </w:p>
        </w:tc>
        <w:tc>
          <w:tcPr>
            <w:tcW w:w="1170" w:type="dxa"/>
            <w:tcBorders>
              <w:top w:val="single" w:sz="4" w:space="0" w:color="auto"/>
            </w:tcBorders>
            <w:vAlign w:val="bottom"/>
          </w:tcPr>
          <w:p w:rsidR="00466BA8" w:rsidRPr="00466BA8" w:rsidRDefault="00466BA8" w:rsidP="00466BA8">
            <w:pPr>
              <w:widowControl w:val="0"/>
              <w:jc w:val="center"/>
              <w:rPr>
                <w:b/>
                <w:sz w:val="18"/>
                <w:szCs w:val="18"/>
              </w:rPr>
            </w:pPr>
          </w:p>
          <w:p w:rsidR="00466BA8" w:rsidRPr="00466BA8" w:rsidRDefault="00466BA8" w:rsidP="00466BA8">
            <w:pPr>
              <w:widowControl w:val="0"/>
              <w:jc w:val="center"/>
              <w:rPr>
                <w:b/>
                <w:sz w:val="18"/>
                <w:szCs w:val="18"/>
              </w:rPr>
            </w:pPr>
          </w:p>
        </w:tc>
        <w:tc>
          <w:tcPr>
            <w:tcW w:w="2730" w:type="dxa"/>
            <w:tcBorders>
              <w:top w:val="single" w:sz="4" w:space="0" w:color="auto"/>
            </w:tcBorders>
            <w:vAlign w:val="bottom"/>
          </w:tcPr>
          <w:p w:rsidR="00466BA8" w:rsidRPr="00466BA8" w:rsidRDefault="00466BA8" w:rsidP="00466BA8">
            <w:pPr>
              <w:widowControl w:val="0"/>
              <w:jc w:val="center"/>
              <w:rPr>
                <w:b/>
                <w:sz w:val="18"/>
                <w:szCs w:val="18"/>
              </w:rPr>
            </w:pPr>
          </w:p>
        </w:tc>
      </w:tr>
    </w:tbl>
    <w:p w:rsidR="00466BA8" w:rsidRPr="00466BA8" w:rsidRDefault="00466BA8" w:rsidP="00466BA8">
      <w:pPr>
        <w:widowControl w:val="0"/>
        <w:jc w:val="both"/>
        <w:rPr>
          <w:sz w:val="18"/>
          <w:szCs w:val="18"/>
        </w:rPr>
      </w:pPr>
      <w:r w:rsidRPr="00466BA8">
        <w:rPr>
          <w:sz w:val="18"/>
          <w:szCs w:val="18"/>
        </w:rPr>
        <w:tab/>
      </w:r>
    </w:p>
    <w:p w:rsidR="00466BA8" w:rsidRPr="00466BA8" w:rsidRDefault="00466BA8" w:rsidP="00466BA8">
      <w:pPr>
        <w:widowControl w:val="0"/>
        <w:ind w:firstLine="720"/>
        <w:jc w:val="both"/>
        <w:rPr>
          <w:sz w:val="18"/>
          <w:szCs w:val="18"/>
        </w:rPr>
      </w:pPr>
      <w:r w:rsidRPr="00466BA8">
        <w:rPr>
          <w:sz w:val="18"/>
          <w:szCs w:val="18"/>
        </w:rPr>
        <w:t>N.A.  =</w:t>
      </w:r>
      <w:r w:rsidRPr="00466BA8">
        <w:rPr>
          <w:sz w:val="18"/>
          <w:szCs w:val="18"/>
        </w:rPr>
        <w:tab/>
        <w:t>Not applicable.</w:t>
      </w:r>
    </w:p>
    <w:p w:rsidR="00466BA8" w:rsidRPr="00466BA8" w:rsidRDefault="00466BA8" w:rsidP="00466BA8">
      <w:pPr>
        <w:widowControl w:val="0"/>
        <w:tabs>
          <w:tab w:val="left" w:pos="-1440"/>
        </w:tabs>
        <w:ind w:left="720" w:hanging="720"/>
        <w:jc w:val="both"/>
        <w:rPr>
          <w:sz w:val="18"/>
          <w:szCs w:val="18"/>
        </w:rPr>
      </w:pPr>
      <w:r w:rsidRPr="00466BA8">
        <w:rPr>
          <w:sz w:val="18"/>
          <w:szCs w:val="18"/>
        </w:rPr>
        <w:t>5,638 examinees, excluding the ITE, VSITE and PSITE.</w:t>
      </w:r>
    </w:p>
    <w:p w:rsidR="00466BA8" w:rsidRPr="00466BA8" w:rsidRDefault="00466BA8" w:rsidP="00466BA8">
      <w:pPr>
        <w:widowControl w:val="0"/>
        <w:tabs>
          <w:tab w:val="left" w:pos="-1440"/>
        </w:tabs>
        <w:ind w:left="720" w:hanging="720"/>
        <w:jc w:val="both"/>
        <w:rPr>
          <w:sz w:val="18"/>
          <w:szCs w:val="18"/>
        </w:rPr>
      </w:pPr>
    </w:p>
    <w:p w:rsidR="00466BA8" w:rsidRPr="00466BA8" w:rsidRDefault="00466BA8" w:rsidP="00466BA8">
      <w:pPr>
        <w:widowControl w:val="0"/>
        <w:tabs>
          <w:tab w:val="left" w:pos="-1440"/>
        </w:tabs>
        <w:ind w:left="720" w:hanging="720"/>
        <w:jc w:val="both"/>
        <w:rPr>
          <w:sz w:val="18"/>
          <w:szCs w:val="18"/>
        </w:rPr>
      </w:pPr>
      <w:r w:rsidRPr="00466BA8">
        <w:rPr>
          <w:sz w:val="18"/>
          <w:szCs w:val="18"/>
        </w:rPr>
        <w:t>*Certifying Examination totals for 2012-2013 academic year</w:t>
      </w:r>
    </w:p>
    <w:p w:rsidR="008E13E9" w:rsidRPr="00AD3D79" w:rsidRDefault="008E13E9" w:rsidP="00466BA8">
      <w:pPr>
        <w:widowControl w:val="0"/>
        <w:jc w:val="center"/>
        <w:rPr>
          <w:rFonts w:eastAsia="Times New Roman" w:cs="Times New Roman"/>
          <w:sz w:val="20"/>
          <w:szCs w:val="20"/>
        </w:rPr>
      </w:pPr>
    </w:p>
    <w:sectPr w:rsidR="008E13E9" w:rsidRPr="00AD3D79" w:rsidSect="00787637">
      <w:headerReference w:type="default" r:id="rId7"/>
      <w:pgSz w:w="12240" w:h="15840"/>
      <w:pgMar w:top="1440" w:right="1008"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C44" w:rsidRDefault="004E4C44" w:rsidP="004D3241">
      <w:r>
        <w:separator/>
      </w:r>
    </w:p>
  </w:endnote>
  <w:endnote w:type="continuationSeparator" w:id="0">
    <w:p w:rsidR="004E4C44" w:rsidRDefault="004E4C44" w:rsidP="004D3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C44" w:rsidRDefault="004E4C44" w:rsidP="004D3241">
      <w:r>
        <w:separator/>
      </w:r>
    </w:p>
  </w:footnote>
  <w:footnote w:type="continuationSeparator" w:id="0">
    <w:p w:rsidR="004E4C44" w:rsidRDefault="004E4C44" w:rsidP="004D3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A8" w:rsidRDefault="00466BA8">
    <w:pPr>
      <w:pStyle w:val="Header"/>
    </w:pPr>
    <w:r w:rsidRPr="004D3241">
      <w:rPr>
        <w:u w:val="single"/>
      </w:rPr>
      <w:t>ABS Meeting Summary – 2013-6-25</w:t>
    </w:r>
    <w:r>
      <w:rPr>
        <w:u w:val="single"/>
      </w:rPr>
      <w:t xml:space="preserve"> </w:t>
    </w:r>
    <w:r>
      <w:t xml:space="preserve">                                                                                              </w:t>
    </w:r>
    <w:r w:rsidRPr="004D3241">
      <w:t xml:space="preserve">Page  </w:t>
    </w:r>
    <w:fldSimple w:instr=" PAGE   \* MERGEFORMAT ">
      <w:r w:rsidR="00974B08">
        <w:rPr>
          <w:noProof/>
        </w:rPr>
        <w:t>6</w:t>
      </w:r>
    </w:fldSimple>
    <w:r w:rsidRPr="004D3241">
      <w:t xml:space="preserve">                                                                       </w:t>
    </w:r>
  </w:p>
  <w:p w:rsidR="00466BA8" w:rsidRPr="004D3241" w:rsidRDefault="00466BA8">
    <w:pPr>
      <w:pStyle w:val="Header"/>
      <w:rPr>
        <w:u w:val="single"/>
      </w:rPr>
    </w:pPr>
  </w:p>
  <w:p w:rsidR="00466BA8" w:rsidRDefault="00466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123EF"/>
    <w:multiLevelType w:val="hybridMultilevel"/>
    <w:tmpl w:val="EB88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042D54"/>
    <w:rsid w:val="00042D54"/>
    <w:rsid w:val="00043CE5"/>
    <w:rsid w:val="00063773"/>
    <w:rsid w:val="001E3910"/>
    <w:rsid w:val="002127B4"/>
    <w:rsid w:val="00342734"/>
    <w:rsid w:val="003808A5"/>
    <w:rsid w:val="003B7B60"/>
    <w:rsid w:val="003F7438"/>
    <w:rsid w:val="00420661"/>
    <w:rsid w:val="00466BA8"/>
    <w:rsid w:val="004721FA"/>
    <w:rsid w:val="004D3241"/>
    <w:rsid w:val="004E4C44"/>
    <w:rsid w:val="0052014E"/>
    <w:rsid w:val="00534BAF"/>
    <w:rsid w:val="005679E0"/>
    <w:rsid w:val="005D3A5F"/>
    <w:rsid w:val="00600435"/>
    <w:rsid w:val="00635856"/>
    <w:rsid w:val="006A07B8"/>
    <w:rsid w:val="00731C45"/>
    <w:rsid w:val="00750644"/>
    <w:rsid w:val="00787637"/>
    <w:rsid w:val="007E0D6B"/>
    <w:rsid w:val="007F794C"/>
    <w:rsid w:val="00826910"/>
    <w:rsid w:val="00866969"/>
    <w:rsid w:val="00876D24"/>
    <w:rsid w:val="008E13E9"/>
    <w:rsid w:val="009244E0"/>
    <w:rsid w:val="0092679F"/>
    <w:rsid w:val="00974B08"/>
    <w:rsid w:val="009F136D"/>
    <w:rsid w:val="00AB4153"/>
    <w:rsid w:val="00AC0016"/>
    <w:rsid w:val="00AC7306"/>
    <w:rsid w:val="00AD3D79"/>
    <w:rsid w:val="00AE4814"/>
    <w:rsid w:val="00AE5B11"/>
    <w:rsid w:val="00BE21B2"/>
    <w:rsid w:val="00BE7ACC"/>
    <w:rsid w:val="00C55327"/>
    <w:rsid w:val="00C72D72"/>
    <w:rsid w:val="00CA4798"/>
    <w:rsid w:val="00D671A1"/>
    <w:rsid w:val="00DA44F2"/>
    <w:rsid w:val="00DB31FB"/>
    <w:rsid w:val="00DB5B45"/>
    <w:rsid w:val="00E05E49"/>
    <w:rsid w:val="00E3607E"/>
    <w:rsid w:val="00E52E56"/>
    <w:rsid w:val="00E66502"/>
    <w:rsid w:val="00EF0FF9"/>
    <w:rsid w:val="00F2716B"/>
    <w:rsid w:val="00FD362C"/>
    <w:rsid w:val="00FF0380"/>
    <w:rsid w:val="00FF6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45"/>
    <w:pPr>
      <w:ind w:left="720"/>
      <w:contextualSpacing/>
    </w:pPr>
  </w:style>
  <w:style w:type="paragraph" w:styleId="Header">
    <w:name w:val="header"/>
    <w:basedOn w:val="Normal"/>
    <w:link w:val="HeaderChar"/>
    <w:uiPriority w:val="99"/>
    <w:unhideWhenUsed/>
    <w:rsid w:val="004D3241"/>
    <w:pPr>
      <w:tabs>
        <w:tab w:val="center" w:pos="4680"/>
        <w:tab w:val="right" w:pos="9360"/>
      </w:tabs>
    </w:pPr>
  </w:style>
  <w:style w:type="character" w:customStyle="1" w:styleId="HeaderChar">
    <w:name w:val="Header Char"/>
    <w:basedOn w:val="DefaultParagraphFont"/>
    <w:link w:val="Header"/>
    <w:uiPriority w:val="99"/>
    <w:rsid w:val="004D3241"/>
  </w:style>
  <w:style w:type="paragraph" w:styleId="Footer">
    <w:name w:val="footer"/>
    <w:basedOn w:val="Normal"/>
    <w:link w:val="FooterChar"/>
    <w:uiPriority w:val="99"/>
    <w:unhideWhenUsed/>
    <w:rsid w:val="004D3241"/>
    <w:pPr>
      <w:tabs>
        <w:tab w:val="center" w:pos="4680"/>
        <w:tab w:val="right" w:pos="9360"/>
      </w:tabs>
    </w:pPr>
  </w:style>
  <w:style w:type="character" w:customStyle="1" w:styleId="FooterChar">
    <w:name w:val="Footer Char"/>
    <w:basedOn w:val="DefaultParagraphFont"/>
    <w:link w:val="Footer"/>
    <w:uiPriority w:val="99"/>
    <w:rsid w:val="004D3241"/>
  </w:style>
  <w:style w:type="paragraph" w:styleId="BalloonText">
    <w:name w:val="Balloon Text"/>
    <w:basedOn w:val="Normal"/>
    <w:link w:val="BalloonTextChar"/>
    <w:uiPriority w:val="99"/>
    <w:semiHidden/>
    <w:unhideWhenUsed/>
    <w:rsid w:val="004D3241"/>
    <w:rPr>
      <w:rFonts w:ascii="Tahoma" w:hAnsi="Tahoma" w:cs="Tahoma"/>
      <w:sz w:val="16"/>
      <w:szCs w:val="16"/>
    </w:rPr>
  </w:style>
  <w:style w:type="character" w:customStyle="1" w:styleId="BalloonTextChar">
    <w:name w:val="Balloon Text Char"/>
    <w:basedOn w:val="DefaultParagraphFont"/>
    <w:link w:val="BalloonText"/>
    <w:uiPriority w:val="99"/>
    <w:semiHidden/>
    <w:rsid w:val="004D3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45"/>
    <w:pPr>
      <w:ind w:left="720"/>
      <w:contextualSpacing/>
    </w:pPr>
  </w:style>
  <w:style w:type="paragraph" w:styleId="Header">
    <w:name w:val="header"/>
    <w:basedOn w:val="Normal"/>
    <w:link w:val="HeaderChar"/>
    <w:uiPriority w:val="99"/>
    <w:unhideWhenUsed/>
    <w:rsid w:val="004D3241"/>
    <w:pPr>
      <w:tabs>
        <w:tab w:val="center" w:pos="4680"/>
        <w:tab w:val="right" w:pos="9360"/>
      </w:tabs>
    </w:pPr>
  </w:style>
  <w:style w:type="character" w:customStyle="1" w:styleId="HeaderChar">
    <w:name w:val="Header Char"/>
    <w:basedOn w:val="DefaultParagraphFont"/>
    <w:link w:val="Header"/>
    <w:uiPriority w:val="99"/>
    <w:rsid w:val="004D3241"/>
  </w:style>
  <w:style w:type="paragraph" w:styleId="Footer">
    <w:name w:val="footer"/>
    <w:basedOn w:val="Normal"/>
    <w:link w:val="FooterChar"/>
    <w:uiPriority w:val="99"/>
    <w:unhideWhenUsed/>
    <w:rsid w:val="004D3241"/>
    <w:pPr>
      <w:tabs>
        <w:tab w:val="center" w:pos="4680"/>
        <w:tab w:val="right" w:pos="9360"/>
      </w:tabs>
    </w:pPr>
  </w:style>
  <w:style w:type="character" w:customStyle="1" w:styleId="FooterChar">
    <w:name w:val="Footer Char"/>
    <w:basedOn w:val="DefaultParagraphFont"/>
    <w:link w:val="Footer"/>
    <w:uiPriority w:val="99"/>
    <w:rsid w:val="004D3241"/>
  </w:style>
  <w:style w:type="paragraph" w:styleId="BalloonText">
    <w:name w:val="Balloon Text"/>
    <w:basedOn w:val="Normal"/>
    <w:link w:val="BalloonTextChar"/>
    <w:uiPriority w:val="99"/>
    <w:semiHidden/>
    <w:unhideWhenUsed/>
    <w:rsid w:val="004D3241"/>
    <w:rPr>
      <w:rFonts w:ascii="Tahoma" w:hAnsi="Tahoma" w:cs="Tahoma"/>
      <w:sz w:val="16"/>
      <w:szCs w:val="16"/>
    </w:rPr>
  </w:style>
  <w:style w:type="character" w:customStyle="1" w:styleId="BalloonTextChar">
    <w:name w:val="Balloon Text Char"/>
    <w:basedOn w:val="DefaultParagraphFont"/>
    <w:link w:val="BalloonText"/>
    <w:uiPriority w:val="99"/>
    <w:semiHidden/>
    <w:rsid w:val="004D3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Flewis</dc:creator>
  <cp:lastModifiedBy>WCHIU</cp:lastModifiedBy>
  <cp:revision>2</cp:revision>
  <cp:lastPrinted>2013-09-03T19:14:00Z</cp:lastPrinted>
  <dcterms:created xsi:type="dcterms:W3CDTF">2013-10-04T19:58:00Z</dcterms:created>
  <dcterms:modified xsi:type="dcterms:W3CDTF">2013-10-04T19:58:00Z</dcterms:modified>
</cp:coreProperties>
</file>